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0A1" w:rsidRPr="007F4780" w:rsidRDefault="007F4780">
      <w:pPr>
        <w:spacing w:line="360" w:lineRule="auto"/>
        <w:jc w:val="center"/>
        <w:rPr>
          <w:rFonts w:ascii="Times New Roman" w:hAnsi="Times New Roman" w:cs="Times New Roman" w:hint="eastAsia"/>
          <w:b/>
          <w:sz w:val="36"/>
        </w:rPr>
      </w:pPr>
      <w:r w:rsidRPr="007F4780">
        <w:rPr>
          <w:rFonts w:ascii="Times New Roman" w:hAnsi="Times New Roman" w:cs="Times New Roman"/>
          <w:b/>
          <w:sz w:val="36"/>
        </w:rPr>
        <w:t>广东省中医院</w:t>
      </w:r>
      <w:r w:rsidRPr="007F4780">
        <w:rPr>
          <w:rFonts w:ascii="Times New Roman" w:hAnsi="Times New Roman" w:cs="Times New Roman"/>
          <w:b/>
          <w:sz w:val="36"/>
        </w:rPr>
        <w:t>慢病管理系统</w:t>
      </w:r>
      <w:r w:rsidRPr="007F4780">
        <w:rPr>
          <w:rFonts w:ascii="Times New Roman" w:hAnsi="Times New Roman" w:cs="Times New Roman"/>
          <w:b/>
          <w:sz w:val="36"/>
        </w:rPr>
        <w:t>智能化</w:t>
      </w:r>
      <w:r w:rsidRPr="007F4780">
        <w:rPr>
          <w:rFonts w:ascii="Times New Roman" w:hAnsi="Times New Roman" w:cs="Times New Roman"/>
          <w:b/>
          <w:sz w:val="36"/>
        </w:rPr>
        <w:t>升级需求</w:t>
      </w:r>
    </w:p>
    <w:p w:rsidR="00D510A1" w:rsidRDefault="00D510A1">
      <w:pPr>
        <w:spacing w:line="360" w:lineRule="auto"/>
        <w:rPr>
          <w:rFonts w:ascii="Times New Roman" w:hAnsi="Times New Roman" w:cs="Times New Roman"/>
          <w:b/>
        </w:rPr>
      </w:pPr>
    </w:p>
    <w:p w:rsidR="00D510A1" w:rsidRDefault="007F4780">
      <w:pPr>
        <w:spacing w:line="360" w:lineRule="auto"/>
        <w:rPr>
          <w:rFonts w:ascii="Times New Roman" w:hAnsi="Times New Roman" w:cs="Times New Roman"/>
          <w:b/>
        </w:rPr>
      </w:pPr>
      <w:r w:rsidRPr="007F4780">
        <w:rPr>
          <w:rFonts w:ascii="Times New Roman" w:hAnsi="Times New Roman" w:cs="Times New Roman"/>
          <w:b/>
        </w:rPr>
        <w:t>一、技术要求</w:t>
      </w:r>
    </w:p>
    <w:p w:rsidR="00D510A1" w:rsidRDefault="007F478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 w:hint="eastAsia"/>
        </w:rPr>
        <w:t>提供</w:t>
      </w:r>
      <w:r>
        <w:rPr>
          <w:rFonts w:ascii="Times New Roman" w:hAnsi="Times New Roman" w:cs="Times New Roman"/>
        </w:rPr>
        <w:t>相应的硬件</w:t>
      </w:r>
      <w:r>
        <w:rPr>
          <w:rFonts w:ascii="Times New Roman" w:hAnsi="Times New Roman" w:cs="Times New Roman" w:hint="eastAsia"/>
        </w:rPr>
        <w:t>和</w:t>
      </w:r>
      <w:r>
        <w:rPr>
          <w:rFonts w:ascii="Times New Roman" w:hAnsi="Times New Roman" w:cs="Times New Roman"/>
        </w:rPr>
        <w:t>网络支持</w:t>
      </w:r>
      <w:r>
        <w:rPr>
          <w:rFonts w:ascii="Times New Roman" w:hAnsi="Times New Roman" w:cs="Times New Roman" w:hint="eastAsia"/>
        </w:rPr>
        <w:t>。</w:t>
      </w:r>
    </w:p>
    <w:p w:rsidR="00D510A1" w:rsidRDefault="007F478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2.</w:t>
      </w:r>
      <w:r>
        <w:rPr>
          <w:rFonts w:ascii="Times New Roman" w:hAnsi="Times New Roman" w:cs="Times New Roman" w:hint="eastAsia"/>
        </w:rPr>
        <w:t>搭建本地化专属低代码开发平台，可快速、高效地搭建符合需求的业务系统，实现定制化的业务流程和数据管理。</w:t>
      </w:r>
      <w:bookmarkStart w:id="0" w:name="_GoBack"/>
      <w:bookmarkEnd w:id="0"/>
    </w:p>
    <w:p w:rsidR="00D510A1" w:rsidRDefault="007F4780">
      <w:pPr>
        <w:spacing w:line="360" w:lineRule="auto"/>
      </w:pPr>
      <w:r>
        <w:rPr>
          <w:rFonts w:ascii="Times New Roman" w:hAnsi="Times New Roman" w:cs="Times New Roman" w:hint="eastAsia"/>
        </w:rPr>
        <w:t>3.</w:t>
      </w:r>
      <w:r>
        <w:rPr>
          <w:rFonts w:hint="eastAsia"/>
        </w:rPr>
        <w:t>系统</w:t>
      </w:r>
      <w:r>
        <w:t>安全</w:t>
      </w:r>
      <w:r>
        <w:rPr>
          <w:rFonts w:hint="eastAsia"/>
        </w:rPr>
        <w:t>性</w:t>
      </w:r>
    </w:p>
    <w:p w:rsidR="00D510A1" w:rsidRDefault="007F4780">
      <w:pPr>
        <w:spacing w:line="360" w:lineRule="auto"/>
        <w:rPr>
          <w:rFonts w:ascii="Times New Roman" w:hAnsi="Times New Roman" w:cs="Times New Roman"/>
        </w:rPr>
      </w:pPr>
      <w:r>
        <w:t>3.1</w:t>
      </w:r>
      <w:r>
        <w:rPr>
          <w:rFonts w:ascii="Times New Roman" w:hAnsi="Times New Roman" w:cs="Times New Roman" w:hint="eastAsia"/>
        </w:rPr>
        <w:t>数据保护：</w:t>
      </w:r>
    </w:p>
    <w:p w:rsidR="00D510A1" w:rsidRDefault="007F478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）传输加密：在数据传输过程中使用加密传输，确保数据不被窃取或篡改。</w:t>
      </w:r>
    </w:p>
    <w:p w:rsidR="00D510A1" w:rsidRDefault="007F478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）敏感数据加密：对存储的敏感数据（如个人信息、支付信息等）进行加密处理，只有授权用户才能访问解密。</w:t>
      </w:r>
    </w:p>
    <w:p w:rsidR="00D510A1" w:rsidRDefault="007F478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3.2</w:t>
      </w:r>
      <w:r>
        <w:rPr>
          <w:rFonts w:ascii="Times New Roman" w:hAnsi="Times New Roman" w:cs="Times New Roman" w:hint="eastAsia"/>
        </w:rPr>
        <w:t>安全审计与监控：</w:t>
      </w:r>
    </w:p>
    <w:p w:rsidR="00D510A1" w:rsidRDefault="007F478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）日志记录：对用户操作、系统异常及安全事件进行详细日志记录，并确保日志记录至少满足</w:t>
      </w:r>
      <w:r>
        <w:rPr>
          <w:rFonts w:ascii="Times New Roman" w:hAnsi="Times New Roman" w:cs="Times New Roman" w:hint="eastAsia"/>
        </w:rPr>
        <w:t>180</w:t>
      </w:r>
      <w:r>
        <w:rPr>
          <w:rFonts w:ascii="Times New Roman" w:hAnsi="Times New Roman" w:cs="Times New Roman" w:hint="eastAsia"/>
        </w:rPr>
        <w:t>天存储，定期做好日志备份。</w:t>
      </w:r>
    </w:p>
    <w:p w:rsidR="00D510A1" w:rsidRDefault="007F478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>代码安全：</w:t>
      </w:r>
    </w:p>
    <w:p w:rsidR="00D510A1" w:rsidRDefault="007F478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）代码托管要求：禁止代码托管至互联网平台，仅允许通过内部自建托管平台系统进行维护管理。</w:t>
      </w:r>
    </w:p>
    <w:p w:rsidR="00D510A1" w:rsidRDefault="007F478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）代码访问控制要求：设置严格的访问权限，仅允许授权人员访问代码仓库。建议采用多因素来增强安全性。</w:t>
      </w:r>
    </w:p>
    <w:p w:rsidR="00D510A1" w:rsidRDefault="007F478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）代码存储要求：敏感信息（如</w:t>
      </w:r>
      <w:r>
        <w:rPr>
          <w:rFonts w:ascii="Times New Roman" w:hAnsi="Times New Roman" w:cs="Times New Roman" w:hint="eastAsia"/>
        </w:rPr>
        <w:t>API</w:t>
      </w:r>
      <w:r>
        <w:rPr>
          <w:rFonts w:ascii="Times New Roman" w:hAnsi="Times New Roman" w:cs="Times New Roman" w:hint="eastAsia"/>
        </w:rPr>
        <w:t>密钥、数据库凭证等）应进行加密处理，避免明文存储在代码中。</w:t>
      </w:r>
    </w:p>
    <w:p w:rsidR="00D510A1" w:rsidRDefault="007F478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3.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 w:hint="eastAsia"/>
        </w:rPr>
        <w:t>安全认证要求：</w:t>
      </w:r>
    </w:p>
    <w:p w:rsidR="00D510A1" w:rsidRDefault="007F478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）安全控制措施符合国家要求，并通过国家级信息系统等级认证</w:t>
      </w:r>
      <w:r>
        <w:rPr>
          <w:rFonts w:ascii="Times New Roman" w:hAnsi="Times New Roman" w:cs="Times New Roman" w:hint="eastAsia"/>
        </w:rPr>
        <w:t>，网络</w:t>
      </w:r>
      <w:proofErr w:type="gramStart"/>
      <w:r>
        <w:rPr>
          <w:rFonts w:ascii="Times New Roman" w:hAnsi="Times New Roman" w:cs="Times New Roman" w:hint="eastAsia"/>
        </w:rPr>
        <w:t>安全国家</w:t>
      </w:r>
      <w:proofErr w:type="gramEnd"/>
      <w:r>
        <w:rPr>
          <w:rFonts w:ascii="Times New Roman" w:hAnsi="Times New Roman" w:cs="Times New Roman" w:hint="eastAsia"/>
        </w:rPr>
        <w:t>等级保护测评等相关安全认证。</w:t>
      </w:r>
    </w:p>
    <w:p w:rsidR="00D510A1" w:rsidRDefault="007F478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 w:hint="eastAsia"/>
        </w:rPr>
        <w:t>数据</w:t>
      </w:r>
      <w:r>
        <w:rPr>
          <w:rFonts w:ascii="Times New Roman" w:hAnsi="Times New Roman" w:cs="Times New Roman"/>
        </w:rPr>
        <w:t>维护</w:t>
      </w:r>
    </w:p>
    <w:p w:rsidR="00D510A1" w:rsidRDefault="007F478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）提供规范数据接口，支持与医院现有其他系统进行对接，实现人员、组织、其他数据字典等基础数据自动同步更新，支持门诊</w:t>
      </w:r>
      <w:r>
        <w:rPr>
          <w:rFonts w:ascii="Times New Roman" w:hAnsi="Times New Roman" w:cs="Times New Roman"/>
        </w:rPr>
        <w:t>、住院、</w:t>
      </w:r>
      <w:r>
        <w:rPr>
          <w:rFonts w:ascii="Times New Roman" w:hAnsi="Times New Roman" w:cs="Times New Roman" w:hint="eastAsia"/>
        </w:rPr>
        <w:t>检查</w:t>
      </w:r>
      <w:r>
        <w:rPr>
          <w:rFonts w:ascii="Times New Roman" w:hAnsi="Times New Roman" w:cs="Times New Roman"/>
        </w:rPr>
        <w:t>检验</w:t>
      </w:r>
      <w:r>
        <w:rPr>
          <w:rFonts w:ascii="Times New Roman" w:hAnsi="Times New Roman" w:cs="Times New Roman" w:hint="eastAsia"/>
        </w:rPr>
        <w:t>等数据的对接。</w:t>
      </w:r>
    </w:p>
    <w:p w:rsidR="00D510A1" w:rsidRDefault="007F4780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二、功能需求</w:t>
      </w:r>
    </w:p>
    <w:p w:rsidR="00D510A1" w:rsidRDefault="007F4780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  <w:b/>
        </w:rPr>
        <w:t>智能化慢病管理系统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308"/>
        <w:gridCol w:w="5717"/>
      </w:tblGrid>
      <w:tr w:rsidR="00D510A1">
        <w:trPr>
          <w:trHeight w:val="69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A1" w:rsidRDefault="007F4780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lastRenderedPageBreak/>
              <w:t>一级</w:t>
            </w:r>
            <w:r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  <w:t>模块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0A1" w:rsidRDefault="007F4780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功能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0A1" w:rsidRDefault="007F4780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功能</w:t>
            </w:r>
            <w:r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  <w:t>描述</w:t>
            </w:r>
          </w:p>
        </w:tc>
      </w:tr>
      <w:tr w:rsidR="00D510A1">
        <w:trPr>
          <w:trHeight w:val="70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A1" w:rsidRDefault="007F478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智能化随访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0A1" w:rsidRDefault="007F478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患互动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0A1" w:rsidRDefault="007F478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支持对接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AI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大模型；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支持医护对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AI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大模型回复审核，修改后再回复患者。</w:t>
            </w:r>
          </w:p>
        </w:tc>
      </w:tr>
      <w:tr w:rsidR="00D510A1">
        <w:trPr>
          <w:trHeight w:val="974"/>
          <w:jc w:val="center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A1" w:rsidRDefault="007F478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智能化宣教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0A1" w:rsidRDefault="007F478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宣教内容管理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0A1" w:rsidRDefault="007F478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提供宣教资料内容的管理维护功能，包含多媒体宣教资料的增、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删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、改和附件的维护操作。</w:t>
            </w:r>
          </w:p>
        </w:tc>
      </w:tr>
      <w:tr w:rsidR="00D510A1">
        <w:trPr>
          <w:trHeight w:val="1540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A1" w:rsidRDefault="00D510A1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0A1" w:rsidRDefault="007F478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宣教推送管理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0A1" w:rsidRDefault="007F478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提供宣教资料推送行为的管理功能，支持通过小程序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/PC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端将宣教资料推送给单一或多位指定患者甚至整个专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病管理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队列下的所有患者。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支持在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医患交流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中临时推送宣教。</w:t>
            </w:r>
          </w:p>
        </w:tc>
      </w:tr>
      <w:tr w:rsidR="00D510A1">
        <w:trPr>
          <w:trHeight w:val="1266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A1" w:rsidRDefault="00D510A1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0A1" w:rsidRDefault="007F478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诊疗计划模板管理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0A1" w:rsidRDefault="007F478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支持医护人员使用“时点×任务”的管理理念制定和修改专科诊疗计划模板，包含对计划的时点和任务的制定。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支持医护人员将任务绑定宣教。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支持系统按计划推送任务提醒到患者移动端。</w:t>
            </w:r>
          </w:p>
        </w:tc>
      </w:tr>
      <w:tr w:rsidR="00D510A1">
        <w:trPr>
          <w:trHeight w:val="1127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A1" w:rsidRDefault="00D510A1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0A1" w:rsidRDefault="007F478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统计分析宣教数据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0A1" w:rsidRDefault="007F478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提供小程序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/PC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端宣教资料推送结果的统计功能，显示已推送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未推送患者总数及列表、已推送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未推送文章的次数及列表。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</w:p>
        </w:tc>
      </w:tr>
      <w:tr w:rsidR="00D510A1">
        <w:trPr>
          <w:trHeight w:val="841"/>
          <w:jc w:val="center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A1" w:rsidRDefault="007F478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智能化评估监测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0A1" w:rsidRDefault="007F478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协助医护定位患者任务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0A1" w:rsidRDefault="007F478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支持医护人员查看下月应随访报表功能；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支持医护人员查看上下时点完成情况功能；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支持医护人员查看及编辑备注功能；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提供医护人员进行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360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跳转；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支持医护人员查看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天内检验的在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管病人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患者清单；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支持医护人员用不同颜色来区分预约病人的状态。</w:t>
            </w:r>
          </w:p>
        </w:tc>
      </w:tr>
      <w:tr w:rsidR="00D510A1">
        <w:trPr>
          <w:trHeight w:val="1525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A1" w:rsidRDefault="00D510A1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0A1" w:rsidRDefault="007F478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协助患者定位患者任务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0A1" w:rsidRDefault="007F478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提供患者小程序主页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-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“我的待办”功能，其中包含：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列出患者全部未完成任务列表，查看已填写历史量表功能，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扫二维码即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可进入此界面功能。</w:t>
            </w:r>
          </w:p>
        </w:tc>
      </w:tr>
      <w:tr w:rsidR="00D510A1">
        <w:trPr>
          <w:trHeight w:val="2400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A1" w:rsidRDefault="00D510A1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0A1" w:rsidRDefault="007F478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监测患者指标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0A1" w:rsidRDefault="007F478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支持患者小程序对接和管理患者居家监测设备（血压计、血糖仪、体温、血氧）。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提供在患者小程序主页可填写患者居家监测指标（血压计、血糖仪、体温、血氧）量表。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支持医护通过小程序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/PC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端查看患者在患者小程序上传的健康数据，同时以图表的方式展示，包括血压、血糖、血氧、体温、计步等信息。</w:t>
            </w:r>
          </w:p>
        </w:tc>
      </w:tr>
      <w:tr w:rsidR="00D510A1">
        <w:trPr>
          <w:trHeight w:val="155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A1" w:rsidRDefault="007F478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预后预测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0A1" w:rsidRDefault="007F478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对接预后预测模型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0A1" w:rsidRDefault="007F478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支持对接相关病种的预后预测模型；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支持按相关病种的预后预测模型展示预测的患者病情进展情况。</w:t>
            </w:r>
          </w:p>
        </w:tc>
      </w:tr>
    </w:tbl>
    <w:p w:rsidR="00D510A1" w:rsidRDefault="00D510A1">
      <w:pPr>
        <w:spacing w:line="360" w:lineRule="auto"/>
        <w:rPr>
          <w:rFonts w:ascii="Times New Roman" w:hAnsi="Times New Roman" w:cs="Times New Roman"/>
          <w:b/>
        </w:rPr>
      </w:pPr>
    </w:p>
    <w:p w:rsidR="00D510A1" w:rsidRDefault="007F4780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 xml:space="preserve">2. </w:t>
      </w:r>
      <w:r>
        <w:rPr>
          <w:rFonts w:ascii="Times New Roman" w:hAnsi="Times New Roman" w:cs="Times New Roman" w:hint="eastAsia"/>
          <w:b/>
        </w:rPr>
        <w:t>慢病管理大数据平台</w:t>
      </w:r>
      <w:bookmarkStart w:id="1" w:name="OLE_LINK1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8"/>
        <w:gridCol w:w="2011"/>
        <w:gridCol w:w="4757"/>
      </w:tblGrid>
      <w:tr w:rsidR="00D510A1">
        <w:trPr>
          <w:trHeight w:val="690"/>
        </w:trPr>
        <w:tc>
          <w:tcPr>
            <w:tcW w:w="1528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一级模块</w:t>
            </w:r>
          </w:p>
        </w:tc>
        <w:tc>
          <w:tcPr>
            <w:tcW w:w="2011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功能</w:t>
            </w:r>
          </w:p>
        </w:tc>
        <w:tc>
          <w:tcPr>
            <w:tcW w:w="4757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功能</w:t>
            </w:r>
            <w:r>
              <w:rPr>
                <w:rFonts w:ascii="Times New Roman" w:hAnsi="Times New Roman" w:cs="Times New Roman"/>
                <w:b/>
              </w:rPr>
              <w:t>描述</w:t>
            </w:r>
          </w:p>
        </w:tc>
      </w:tr>
      <w:tr w:rsidR="00D510A1">
        <w:trPr>
          <w:trHeight w:val="690"/>
        </w:trPr>
        <w:tc>
          <w:tcPr>
            <w:tcW w:w="1528" w:type="dxa"/>
            <w:vMerge w:val="restart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慢病管理大数据平台（数据中台）</w:t>
            </w:r>
          </w:p>
        </w:tc>
        <w:tc>
          <w:tcPr>
            <w:tcW w:w="2011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数据同步地址管理</w:t>
            </w:r>
          </w:p>
        </w:tc>
        <w:tc>
          <w:tcPr>
            <w:tcW w:w="4757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支持通过集中配置和维护各分中心的数据分发地址（</w:t>
            </w:r>
            <w:r>
              <w:rPr>
                <w:rFonts w:ascii="Times New Roman" w:hAnsi="Times New Roman" w:cs="Times New Roman" w:hint="eastAsia"/>
              </w:rPr>
              <w:t>URL</w:t>
            </w:r>
            <w:r>
              <w:rPr>
                <w:rFonts w:ascii="Times New Roman" w:hAnsi="Times New Roman" w:cs="Times New Roman" w:hint="eastAsia"/>
              </w:rPr>
              <w:t>），实现数据中台向不同成员单位精准、安全、可控地推送数据，支持地址状态监控、权限校验与访问策略管理，确保数据分发链路的可管理性与稳定性，提升跨机构数据共享的自动化水平与运维效率。</w:t>
            </w:r>
          </w:p>
        </w:tc>
      </w:tr>
      <w:tr w:rsidR="00D510A1">
        <w:trPr>
          <w:trHeight w:val="690"/>
        </w:trPr>
        <w:tc>
          <w:tcPr>
            <w:tcW w:w="1528" w:type="dxa"/>
            <w:vMerge/>
          </w:tcPr>
          <w:p w:rsidR="00D510A1" w:rsidRDefault="00D510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数据同步规则管理</w:t>
            </w:r>
          </w:p>
        </w:tc>
        <w:tc>
          <w:tcPr>
            <w:tcW w:w="4757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支持配置不同医院按照不同的同步规则进行同步。</w:t>
            </w:r>
          </w:p>
        </w:tc>
      </w:tr>
      <w:tr w:rsidR="00D510A1">
        <w:trPr>
          <w:trHeight w:val="690"/>
        </w:trPr>
        <w:tc>
          <w:tcPr>
            <w:tcW w:w="1528" w:type="dxa"/>
            <w:vMerge/>
          </w:tcPr>
          <w:p w:rsidR="00D510A1" w:rsidRDefault="00D510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数据权限管理</w:t>
            </w:r>
          </w:p>
        </w:tc>
        <w:tc>
          <w:tcPr>
            <w:tcW w:w="4757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支持通过配置各分中心与</w:t>
            </w:r>
            <w:proofErr w:type="gramStart"/>
            <w:r>
              <w:rPr>
                <w:rFonts w:ascii="Times New Roman" w:hAnsi="Times New Roman" w:cs="Times New Roman" w:hint="eastAsia"/>
              </w:rPr>
              <w:t>主中心</w:t>
            </w:r>
            <w:proofErr w:type="gramEnd"/>
            <w:r>
              <w:rPr>
                <w:rFonts w:ascii="Times New Roman" w:hAnsi="Times New Roman" w:cs="Times New Roman" w:hint="eastAsia"/>
              </w:rPr>
              <w:t>之间的数据交互策略，实现对数据流向的精细化管控（如仅允许分中心向</w:t>
            </w:r>
            <w:proofErr w:type="gramStart"/>
            <w:r>
              <w:rPr>
                <w:rFonts w:ascii="Times New Roman" w:hAnsi="Times New Roman" w:cs="Times New Roman" w:hint="eastAsia"/>
              </w:rPr>
              <w:t>主中心</w:t>
            </w:r>
            <w:proofErr w:type="gramEnd"/>
            <w:r>
              <w:rPr>
                <w:rFonts w:ascii="Times New Roman" w:hAnsi="Times New Roman" w:cs="Times New Roman" w:hint="eastAsia"/>
              </w:rPr>
              <w:t>报送数据，禁止反向接收），确保数据共享过程中的安全边界与合</w:t>
            </w:r>
            <w:proofErr w:type="gramStart"/>
            <w:r>
              <w:rPr>
                <w:rFonts w:ascii="Times New Roman" w:hAnsi="Times New Roman" w:cs="Times New Roman" w:hint="eastAsia"/>
              </w:rPr>
              <w:t>规</w:t>
            </w:r>
            <w:proofErr w:type="gramEnd"/>
            <w:r>
              <w:rPr>
                <w:rFonts w:ascii="Times New Roman" w:hAnsi="Times New Roman" w:cs="Times New Roman" w:hint="eastAsia"/>
              </w:rPr>
              <w:t>性，防止越权访问与非授权数据回流，保障数据中台在多机构协同中的可控性、可管性和数据主权清晰。</w:t>
            </w:r>
          </w:p>
          <w:p w:rsidR="00D510A1" w:rsidRDefault="00D510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510A1">
        <w:trPr>
          <w:trHeight w:val="690"/>
        </w:trPr>
        <w:tc>
          <w:tcPr>
            <w:tcW w:w="1528" w:type="dxa"/>
            <w:vMerge/>
          </w:tcPr>
          <w:p w:rsidR="00D510A1" w:rsidRDefault="00D510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病种队列管理</w:t>
            </w:r>
          </w:p>
        </w:tc>
        <w:tc>
          <w:tcPr>
            <w:tcW w:w="4757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支持配置各分中心与</w:t>
            </w:r>
            <w:proofErr w:type="gramStart"/>
            <w:r>
              <w:rPr>
                <w:rFonts w:ascii="Times New Roman" w:hAnsi="Times New Roman" w:cs="Times New Roman" w:hint="eastAsia"/>
              </w:rPr>
              <w:t>主中心</w:t>
            </w:r>
            <w:proofErr w:type="gramEnd"/>
            <w:r>
              <w:rPr>
                <w:rFonts w:ascii="Times New Roman" w:hAnsi="Times New Roman" w:cs="Times New Roman" w:hint="eastAsia"/>
              </w:rPr>
              <w:t>之间病种队列的映射对照关系（例如将分中心的“肾病队列”数据映射</w:t>
            </w:r>
            <w:proofErr w:type="gramStart"/>
            <w:r>
              <w:rPr>
                <w:rFonts w:ascii="Times New Roman" w:hAnsi="Times New Roman" w:cs="Times New Roman" w:hint="eastAsia"/>
              </w:rPr>
              <w:t>至主中心</w:t>
            </w:r>
            <w:proofErr w:type="gramEnd"/>
            <w:r>
              <w:rPr>
                <w:rFonts w:ascii="Times New Roman" w:hAnsi="Times New Roman" w:cs="Times New Roman" w:hint="eastAsia"/>
              </w:rPr>
              <w:t>的“</w:t>
            </w:r>
            <w:r>
              <w:rPr>
                <w:rFonts w:ascii="Times New Roman" w:hAnsi="Times New Roman" w:cs="Times New Roman" w:hint="eastAsia"/>
              </w:rPr>
              <w:t>CKD 1-2</w:t>
            </w:r>
            <w:r>
              <w:rPr>
                <w:rFonts w:ascii="Times New Roman" w:hAnsi="Times New Roman" w:cs="Times New Roman" w:hint="eastAsia"/>
              </w:rPr>
              <w:t>期”队列），实现多机构异构病种分类的标准化归集与统一管理，保障临床数据在</w:t>
            </w:r>
            <w:proofErr w:type="gramStart"/>
            <w:r>
              <w:rPr>
                <w:rFonts w:ascii="Times New Roman" w:hAnsi="Times New Roman" w:cs="Times New Roman" w:hint="eastAsia"/>
              </w:rPr>
              <w:t>跨中心</w:t>
            </w:r>
            <w:proofErr w:type="gramEnd"/>
            <w:r>
              <w:rPr>
                <w:rFonts w:ascii="Times New Roman" w:hAnsi="Times New Roman" w:cs="Times New Roman" w:hint="eastAsia"/>
              </w:rPr>
              <w:t>汇聚过程中的语义一致性与业务可比性，支撑慢病专病队</w:t>
            </w:r>
            <w:r>
              <w:rPr>
                <w:rFonts w:ascii="Times New Roman" w:hAnsi="Times New Roman" w:cs="Times New Roman" w:hint="eastAsia"/>
              </w:rPr>
              <w:t>列的精准构建、数据整合与科研分析。</w:t>
            </w:r>
          </w:p>
          <w:p w:rsidR="00D510A1" w:rsidRDefault="00D510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510A1">
        <w:trPr>
          <w:trHeight w:val="345"/>
        </w:trPr>
        <w:tc>
          <w:tcPr>
            <w:tcW w:w="1528" w:type="dxa"/>
            <w:vMerge/>
          </w:tcPr>
          <w:p w:rsidR="00D510A1" w:rsidRDefault="00D510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缓存多个中心慢病管理系统数据</w:t>
            </w:r>
          </w:p>
        </w:tc>
        <w:tc>
          <w:tcPr>
            <w:tcW w:w="4757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支持通过在数据中台建立分布式缓存机制，临时存储来自各分中心的慢病管理数据，有效应对数据上报高峰期的流量洪峰，实现请求削峰填谷与系统负</w:t>
            </w:r>
            <w:r>
              <w:rPr>
                <w:rFonts w:ascii="Times New Roman" w:hAnsi="Times New Roman" w:cs="Times New Roman" w:hint="eastAsia"/>
              </w:rPr>
              <w:lastRenderedPageBreak/>
              <w:t>载均衡，保障数据采集链路的稳定性与响应效率，同时为后续的数据汇聚、清洗与整合提供可靠的数据缓冲层。</w:t>
            </w:r>
          </w:p>
        </w:tc>
      </w:tr>
      <w:tr w:rsidR="00D510A1">
        <w:trPr>
          <w:trHeight w:val="345"/>
        </w:trPr>
        <w:tc>
          <w:tcPr>
            <w:tcW w:w="1528" w:type="dxa"/>
            <w:vMerge/>
          </w:tcPr>
          <w:p w:rsidR="00D510A1" w:rsidRDefault="00D510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同步运行情况数据</w:t>
            </w:r>
          </w:p>
        </w:tc>
        <w:tc>
          <w:tcPr>
            <w:tcW w:w="4757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支持完整记录每次数据同步任务的执行状态、传输数据量、开始与结束时间、耗时及异常信息等关键运行指标，实现对数据链路运行状况的全面追踪与可视化监控，为故障排查、性能优化和运</w:t>
            </w:r>
            <w:proofErr w:type="gramStart"/>
            <w:r>
              <w:rPr>
                <w:rFonts w:ascii="Times New Roman" w:hAnsi="Times New Roman" w:cs="Times New Roman" w:hint="eastAsia"/>
              </w:rPr>
              <w:t>维管理</w:t>
            </w:r>
            <w:proofErr w:type="gramEnd"/>
            <w:r>
              <w:rPr>
                <w:rFonts w:ascii="Times New Roman" w:hAnsi="Times New Roman" w:cs="Times New Roman" w:hint="eastAsia"/>
              </w:rPr>
              <w:t>提供精准的数据依据，保障数据中台在多中心环境下的稳定、高效与可审计性。</w:t>
            </w:r>
          </w:p>
        </w:tc>
      </w:tr>
      <w:tr w:rsidR="00D510A1">
        <w:trPr>
          <w:trHeight w:val="345"/>
        </w:trPr>
        <w:tc>
          <w:tcPr>
            <w:tcW w:w="1528" w:type="dxa"/>
            <w:vMerge/>
          </w:tcPr>
          <w:p w:rsidR="00D510A1" w:rsidRDefault="00D510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存储数据中台中日志</w:t>
            </w:r>
          </w:p>
        </w:tc>
        <w:tc>
          <w:tcPr>
            <w:tcW w:w="4757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支持集中保存系统操作日志、接口调用日志、任务执行日志及异常错误日志，实现对数据中台全链路运行行为的完整记录与可追溯管理，为系统运维、安全审计、故障排查和性能分析提供可靠的数据支撑，保障平台运行的透明性、合</w:t>
            </w:r>
            <w:proofErr w:type="gramStart"/>
            <w:r>
              <w:rPr>
                <w:rFonts w:ascii="Times New Roman" w:hAnsi="Times New Roman" w:cs="Times New Roman" w:hint="eastAsia"/>
              </w:rPr>
              <w:t>规</w:t>
            </w:r>
            <w:proofErr w:type="gramEnd"/>
            <w:r>
              <w:rPr>
                <w:rFonts w:ascii="Times New Roman" w:hAnsi="Times New Roman" w:cs="Times New Roman" w:hint="eastAsia"/>
              </w:rPr>
              <w:t>性与持续稳定性。</w:t>
            </w:r>
          </w:p>
        </w:tc>
      </w:tr>
    </w:tbl>
    <w:p w:rsidR="00D510A1" w:rsidRDefault="00D510A1">
      <w:pPr>
        <w:spacing w:line="360" w:lineRule="auto"/>
        <w:rPr>
          <w:rFonts w:ascii="Times New Roman" w:hAnsi="Times New Roman" w:cs="Times New Roman"/>
          <w:b/>
        </w:rPr>
      </w:pPr>
    </w:p>
    <w:p w:rsidR="00D510A1" w:rsidRDefault="007F4780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3.</w:t>
      </w:r>
      <w:r>
        <w:rPr>
          <w:rFonts w:ascii="Times New Roman" w:hAnsi="Times New Roman" w:cs="Times New Roman" w:hint="eastAsia"/>
          <w:b/>
        </w:rPr>
        <w:t>平板</w:t>
      </w:r>
      <w:r>
        <w:rPr>
          <w:rFonts w:ascii="Times New Roman" w:hAnsi="Times New Roman" w:cs="Times New Roman"/>
          <w:b/>
        </w:rPr>
        <w:t>端慢病</w:t>
      </w:r>
      <w:r>
        <w:rPr>
          <w:rFonts w:ascii="Times New Roman" w:hAnsi="Times New Roman" w:cs="Times New Roman"/>
          <w:b/>
        </w:rPr>
        <w:t>管理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63"/>
        <w:gridCol w:w="1904"/>
        <w:gridCol w:w="4929"/>
      </w:tblGrid>
      <w:tr w:rsidR="00D510A1">
        <w:trPr>
          <w:trHeight w:val="509"/>
        </w:trPr>
        <w:tc>
          <w:tcPr>
            <w:tcW w:w="1463" w:type="dxa"/>
          </w:tcPr>
          <w:bookmarkEnd w:id="1"/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一级</w:t>
            </w:r>
            <w:r>
              <w:rPr>
                <w:rFonts w:ascii="Times New Roman" w:hAnsi="Times New Roman" w:cs="Times New Roman"/>
                <w:b/>
              </w:rPr>
              <w:t>模块</w:t>
            </w:r>
          </w:p>
        </w:tc>
        <w:tc>
          <w:tcPr>
            <w:tcW w:w="1904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功能</w:t>
            </w:r>
          </w:p>
        </w:tc>
        <w:tc>
          <w:tcPr>
            <w:tcW w:w="4929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功能</w:t>
            </w:r>
            <w:r>
              <w:rPr>
                <w:rFonts w:ascii="Times New Roman" w:hAnsi="Times New Roman" w:cs="Times New Roman"/>
                <w:b/>
              </w:rPr>
              <w:t>描述</w:t>
            </w:r>
          </w:p>
        </w:tc>
      </w:tr>
      <w:tr w:rsidR="00D510A1">
        <w:trPr>
          <w:trHeight w:val="3450"/>
        </w:trPr>
        <w:tc>
          <w:tcPr>
            <w:tcW w:w="1463" w:type="dxa"/>
            <w:vMerge w:val="restart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临床管理</w:t>
            </w:r>
          </w:p>
        </w:tc>
        <w:tc>
          <w:tcPr>
            <w:tcW w:w="1904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病人管理</w:t>
            </w:r>
          </w:p>
        </w:tc>
        <w:tc>
          <w:tcPr>
            <w:tcW w:w="4929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支持患者列表功能，包含：已登录用户可以查看慢病平台中已建档的所有患者基本信息列表。支持重置登录密码管理。</w:t>
            </w:r>
            <w:r>
              <w:rPr>
                <w:rFonts w:ascii="Times New Roman" w:hAnsi="Times New Roman" w:cs="Times New Roman" w:hint="eastAsia"/>
              </w:rPr>
              <w:br/>
            </w:r>
            <w:r>
              <w:rPr>
                <w:rFonts w:ascii="Times New Roman" w:hAnsi="Times New Roman" w:cs="Times New Roman" w:hint="eastAsia"/>
              </w:rPr>
              <w:t>支持新增患者功能，包含：支持通过输入门诊卡号快速建档，和手动输入患者信息建档。</w:t>
            </w:r>
            <w:r>
              <w:rPr>
                <w:rFonts w:ascii="Times New Roman" w:hAnsi="Times New Roman" w:cs="Times New Roman" w:hint="eastAsia"/>
              </w:rPr>
              <w:br/>
            </w:r>
            <w:r>
              <w:rPr>
                <w:rFonts w:ascii="Times New Roman" w:hAnsi="Times New Roman" w:cs="Times New Roman" w:hint="eastAsia"/>
              </w:rPr>
              <w:t>支持信息查看功能，包含：查看患者个人信息详情。</w:t>
            </w:r>
            <w:r>
              <w:rPr>
                <w:rFonts w:ascii="Times New Roman" w:hAnsi="Times New Roman" w:cs="Times New Roman" w:hint="eastAsia"/>
              </w:rPr>
              <w:br/>
            </w:r>
            <w:r>
              <w:rPr>
                <w:rFonts w:ascii="Times New Roman" w:hAnsi="Times New Roman" w:cs="Times New Roman" w:hint="eastAsia"/>
              </w:rPr>
              <w:t>支持患者待办功能，包含：可以查看患者日程待办。</w:t>
            </w:r>
            <w:r>
              <w:rPr>
                <w:rFonts w:ascii="Times New Roman" w:hAnsi="Times New Roman" w:cs="Times New Roman" w:hint="eastAsia"/>
              </w:rPr>
              <w:br/>
            </w:r>
            <w:r>
              <w:rPr>
                <w:rFonts w:ascii="Times New Roman" w:hAnsi="Times New Roman" w:cs="Times New Roman" w:hint="eastAsia"/>
              </w:rPr>
              <w:t>支持量表填写功能，包含：可以管理患者待办中的量表，在平板</w:t>
            </w:r>
            <w:proofErr w:type="gramStart"/>
            <w:r>
              <w:rPr>
                <w:rFonts w:ascii="Times New Roman" w:hAnsi="Times New Roman" w:cs="Times New Roman" w:hint="eastAsia"/>
              </w:rPr>
              <w:t>端帮助</w:t>
            </w:r>
            <w:proofErr w:type="gramEnd"/>
            <w:r>
              <w:rPr>
                <w:rFonts w:ascii="Times New Roman" w:hAnsi="Times New Roman" w:cs="Times New Roman" w:hint="eastAsia"/>
              </w:rPr>
              <w:t>患者填写。</w:t>
            </w:r>
            <w:r>
              <w:rPr>
                <w:rFonts w:ascii="Times New Roman" w:hAnsi="Times New Roman" w:cs="Times New Roman" w:hint="eastAsia"/>
              </w:rPr>
              <w:br/>
            </w:r>
            <w:r>
              <w:rPr>
                <w:rFonts w:ascii="Times New Roman" w:hAnsi="Times New Roman" w:cs="Times New Roman" w:hint="eastAsia"/>
              </w:rPr>
              <w:t>支持报告查看功能，包含：能够查看患者的检验、检查报告。支持时间段搜索。</w:t>
            </w:r>
            <w:r>
              <w:rPr>
                <w:rFonts w:ascii="Times New Roman" w:hAnsi="Times New Roman" w:cs="Times New Roman" w:hint="eastAsia"/>
              </w:rPr>
              <w:br/>
            </w:r>
            <w:r>
              <w:rPr>
                <w:rFonts w:ascii="Times New Roman" w:hAnsi="Times New Roman" w:cs="Times New Roman" w:hint="eastAsia"/>
              </w:rPr>
              <w:t>支持穿戴设备数据功能，包含：查看患者居家穿戴设</w:t>
            </w:r>
            <w:r>
              <w:rPr>
                <w:rFonts w:ascii="Times New Roman" w:hAnsi="Times New Roman" w:cs="Times New Roman" w:hint="eastAsia"/>
              </w:rPr>
              <w:lastRenderedPageBreak/>
              <w:t>备数据。支持血压、血糖、心率、体温。</w:t>
            </w:r>
          </w:p>
        </w:tc>
      </w:tr>
      <w:tr w:rsidR="00D510A1">
        <w:trPr>
          <w:trHeight w:val="558"/>
        </w:trPr>
        <w:tc>
          <w:tcPr>
            <w:tcW w:w="1463" w:type="dxa"/>
            <w:vMerge/>
          </w:tcPr>
          <w:p w:rsidR="00D510A1" w:rsidRDefault="00D510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医</w:t>
            </w:r>
            <w:proofErr w:type="gramEnd"/>
            <w:r>
              <w:rPr>
                <w:rFonts w:ascii="Times New Roman" w:hAnsi="Times New Roman" w:cs="Times New Roman" w:hint="eastAsia"/>
              </w:rPr>
              <w:t>患互动</w:t>
            </w:r>
          </w:p>
        </w:tc>
        <w:tc>
          <w:tcPr>
            <w:tcW w:w="4929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支持患者组群列表功能，包含：查看患者群组，进行患者组群查看及详情管理</w:t>
            </w:r>
            <w:r>
              <w:rPr>
                <w:rFonts w:ascii="Times New Roman" w:hAnsi="Times New Roman" w:cs="Times New Roman" w:hint="eastAsia"/>
              </w:rPr>
              <w:br/>
            </w:r>
            <w:r>
              <w:rPr>
                <w:rFonts w:ascii="Times New Roman" w:hAnsi="Times New Roman" w:cs="Times New Roman" w:hint="eastAsia"/>
              </w:rPr>
              <w:t>支持患者组</w:t>
            </w:r>
            <w:proofErr w:type="gramStart"/>
            <w:r>
              <w:rPr>
                <w:rFonts w:ascii="Times New Roman" w:hAnsi="Times New Roman" w:cs="Times New Roman" w:hint="eastAsia"/>
              </w:rPr>
              <w:t>群交流</w:t>
            </w:r>
            <w:proofErr w:type="gramEnd"/>
            <w:r>
              <w:rPr>
                <w:rFonts w:ascii="Times New Roman" w:hAnsi="Times New Roman" w:cs="Times New Roman" w:hint="eastAsia"/>
              </w:rPr>
              <w:t>功能，包含：可查看患者详情，与患者移动端进行交流。支持文字、音频、视频、宣教。</w:t>
            </w:r>
          </w:p>
        </w:tc>
      </w:tr>
      <w:tr w:rsidR="00D510A1">
        <w:trPr>
          <w:trHeight w:val="1035"/>
        </w:trPr>
        <w:tc>
          <w:tcPr>
            <w:tcW w:w="1463" w:type="dxa"/>
            <w:vMerge/>
          </w:tcPr>
          <w:p w:rsidR="00D510A1" w:rsidRDefault="00D510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系统消息</w:t>
            </w:r>
          </w:p>
        </w:tc>
        <w:tc>
          <w:tcPr>
            <w:tcW w:w="4929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支持系统消息列表功能，包含：接收由系统下发的消息。如患者填表完成，患者</w:t>
            </w:r>
            <w:proofErr w:type="gramStart"/>
            <w:r>
              <w:rPr>
                <w:rFonts w:ascii="Times New Roman" w:hAnsi="Times New Roman" w:cs="Times New Roman" w:hint="eastAsia"/>
              </w:rPr>
              <w:t>医</w:t>
            </w:r>
            <w:proofErr w:type="gramEnd"/>
            <w:r>
              <w:rPr>
                <w:rFonts w:ascii="Times New Roman" w:hAnsi="Times New Roman" w:cs="Times New Roman" w:hint="eastAsia"/>
              </w:rPr>
              <w:t>患互动等消息提醒。</w:t>
            </w:r>
            <w:r>
              <w:rPr>
                <w:rFonts w:ascii="Times New Roman" w:hAnsi="Times New Roman" w:cs="Times New Roman" w:hint="eastAsia"/>
              </w:rPr>
              <w:br/>
            </w:r>
            <w:r>
              <w:rPr>
                <w:rFonts w:ascii="Times New Roman" w:hAnsi="Times New Roman" w:cs="Times New Roman" w:hint="eastAsia"/>
              </w:rPr>
              <w:t>支持系统消息详情功能，包含：显示系统消息详情。</w:t>
            </w:r>
          </w:p>
        </w:tc>
      </w:tr>
      <w:tr w:rsidR="00D510A1">
        <w:trPr>
          <w:trHeight w:val="690"/>
        </w:trPr>
        <w:tc>
          <w:tcPr>
            <w:tcW w:w="1463" w:type="dxa"/>
            <w:vMerge/>
          </w:tcPr>
          <w:p w:rsidR="00D510A1" w:rsidRDefault="00D510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宣教管理</w:t>
            </w:r>
          </w:p>
        </w:tc>
        <w:tc>
          <w:tcPr>
            <w:tcW w:w="4929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支持健康宣教列表功能，包含：可查看科室宣教健康列表。</w:t>
            </w:r>
            <w:r>
              <w:rPr>
                <w:rFonts w:ascii="Times New Roman" w:hAnsi="Times New Roman" w:cs="Times New Roman" w:hint="eastAsia"/>
              </w:rPr>
              <w:br/>
            </w:r>
            <w:r>
              <w:rPr>
                <w:rFonts w:ascii="Times New Roman" w:hAnsi="Times New Roman" w:cs="Times New Roman" w:hint="eastAsia"/>
              </w:rPr>
              <w:t>支持健康宣教详情功能，包含：可查看宣教健康内容详情。</w:t>
            </w:r>
          </w:p>
        </w:tc>
      </w:tr>
      <w:tr w:rsidR="00D510A1">
        <w:trPr>
          <w:trHeight w:val="690"/>
        </w:trPr>
        <w:tc>
          <w:tcPr>
            <w:tcW w:w="1463" w:type="dxa"/>
            <w:vMerge/>
          </w:tcPr>
          <w:p w:rsidR="00D510A1" w:rsidRDefault="00D510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用药管理</w:t>
            </w:r>
          </w:p>
        </w:tc>
        <w:tc>
          <w:tcPr>
            <w:tcW w:w="4929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支持用药列表功能，包含：可查看科室用药列表。</w:t>
            </w:r>
            <w:r>
              <w:rPr>
                <w:rFonts w:ascii="Times New Roman" w:hAnsi="Times New Roman" w:cs="Times New Roman" w:hint="eastAsia"/>
              </w:rPr>
              <w:br/>
            </w:r>
            <w:r>
              <w:rPr>
                <w:rFonts w:ascii="Times New Roman" w:hAnsi="Times New Roman" w:cs="Times New Roman" w:hint="eastAsia"/>
              </w:rPr>
              <w:t>支持用药详情功能，包含：可查看用药内容详情。</w:t>
            </w:r>
          </w:p>
        </w:tc>
      </w:tr>
      <w:tr w:rsidR="00D510A1">
        <w:trPr>
          <w:trHeight w:val="345"/>
        </w:trPr>
        <w:tc>
          <w:tcPr>
            <w:tcW w:w="1463" w:type="dxa"/>
            <w:vMerge w:val="restart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公共管理</w:t>
            </w:r>
          </w:p>
        </w:tc>
        <w:tc>
          <w:tcPr>
            <w:tcW w:w="1904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宣教推送</w:t>
            </w:r>
          </w:p>
        </w:tc>
        <w:tc>
          <w:tcPr>
            <w:tcW w:w="4929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支持推送健康宣教功能，包含：可以推送宣教到制定队列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个人。</w:t>
            </w:r>
          </w:p>
        </w:tc>
      </w:tr>
      <w:tr w:rsidR="00D510A1">
        <w:trPr>
          <w:trHeight w:val="345"/>
        </w:trPr>
        <w:tc>
          <w:tcPr>
            <w:tcW w:w="1463" w:type="dxa"/>
            <w:vMerge/>
          </w:tcPr>
          <w:p w:rsidR="00D510A1" w:rsidRDefault="00D510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用药推送</w:t>
            </w:r>
          </w:p>
        </w:tc>
        <w:tc>
          <w:tcPr>
            <w:tcW w:w="4929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支持推送用药宣教功能，包含：可以推送宣教到制定队列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个人。</w:t>
            </w:r>
          </w:p>
        </w:tc>
      </w:tr>
      <w:tr w:rsidR="00D510A1">
        <w:trPr>
          <w:trHeight w:val="690"/>
        </w:trPr>
        <w:tc>
          <w:tcPr>
            <w:tcW w:w="1463" w:type="dxa"/>
            <w:vMerge/>
          </w:tcPr>
          <w:p w:rsidR="00D510A1" w:rsidRDefault="00D510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系统公告</w:t>
            </w:r>
          </w:p>
        </w:tc>
        <w:tc>
          <w:tcPr>
            <w:tcW w:w="4929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支持系统公告列表功能，包含：可展示已设置的系统公告。</w:t>
            </w:r>
            <w:r>
              <w:rPr>
                <w:rFonts w:ascii="Times New Roman" w:hAnsi="Times New Roman" w:cs="Times New Roman" w:hint="eastAsia"/>
              </w:rPr>
              <w:br/>
            </w:r>
            <w:r>
              <w:rPr>
                <w:rFonts w:ascii="Times New Roman" w:hAnsi="Times New Roman" w:cs="Times New Roman" w:hint="eastAsia"/>
              </w:rPr>
              <w:t>支持系统公告详情功能，包含：可查看系统公告详情。</w:t>
            </w:r>
          </w:p>
        </w:tc>
      </w:tr>
      <w:tr w:rsidR="00D510A1">
        <w:trPr>
          <w:trHeight w:val="1380"/>
        </w:trPr>
        <w:tc>
          <w:tcPr>
            <w:tcW w:w="1463" w:type="dxa"/>
            <w:vMerge w:val="restart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系统管理</w:t>
            </w:r>
          </w:p>
        </w:tc>
        <w:tc>
          <w:tcPr>
            <w:tcW w:w="1904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登录管理</w:t>
            </w:r>
          </w:p>
        </w:tc>
        <w:tc>
          <w:tcPr>
            <w:tcW w:w="4929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支持慢病平台所有用户登录通过账号</w:t>
            </w:r>
            <w:r>
              <w:rPr>
                <w:rFonts w:ascii="Times New Roman" w:hAnsi="Times New Roman" w:cs="Times New Roman" w:hint="eastAsia"/>
              </w:rPr>
              <w:t>+</w:t>
            </w:r>
            <w:r>
              <w:rPr>
                <w:rFonts w:ascii="Times New Roman" w:hAnsi="Times New Roman" w:cs="Times New Roman" w:hint="eastAsia"/>
              </w:rPr>
              <w:t>密码、手机号码</w:t>
            </w:r>
            <w:r>
              <w:rPr>
                <w:rFonts w:ascii="Times New Roman" w:hAnsi="Times New Roman" w:cs="Times New Roman" w:hint="eastAsia"/>
              </w:rPr>
              <w:t>+</w:t>
            </w:r>
            <w:r>
              <w:rPr>
                <w:rFonts w:ascii="Times New Roman" w:hAnsi="Times New Roman" w:cs="Times New Roman" w:hint="eastAsia"/>
              </w:rPr>
              <w:t>密码、已绑定</w:t>
            </w:r>
            <w:proofErr w:type="gramStart"/>
            <w:r>
              <w:rPr>
                <w:rFonts w:ascii="Times New Roman" w:hAnsi="Times New Roman" w:cs="Times New Roman" w:hint="eastAsia"/>
              </w:rPr>
              <w:t>微信扫码</w:t>
            </w:r>
            <w:proofErr w:type="gramEnd"/>
            <w:r>
              <w:rPr>
                <w:rFonts w:ascii="Times New Roman" w:hAnsi="Times New Roman" w:cs="Times New Roman" w:hint="eastAsia"/>
              </w:rPr>
              <w:t>（登录并绑定过</w:t>
            </w:r>
            <w:proofErr w:type="gramStart"/>
            <w:r>
              <w:rPr>
                <w:rFonts w:ascii="Times New Roman" w:hAnsi="Times New Roman" w:cs="Times New Roman" w:hint="eastAsia"/>
              </w:rPr>
              <w:t>医护端小程序</w:t>
            </w:r>
            <w:proofErr w:type="gramEnd"/>
            <w:r>
              <w:rPr>
                <w:rFonts w:ascii="Times New Roman" w:hAnsi="Times New Roman" w:cs="Times New Roman" w:hint="eastAsia"/>
              </w:rPr>
              <w:t>的微信号）等方式登录平板。</w:t>
            </w:r>
            <w:r>
              <w:rPr>
                <w:rFonts w:ascii="Times New Roman" w:hAnsi="Times New Roman" w:cs="Times New Roman" w:hint="eastAsia"/>
              </w:rPr>
              <w:br/>
            </w:r>
            <w:r>
              <w:rPr>
                <w:rFonts w:ascii="Times New Roman" w:hAnsi="Times New Roman" w:cs="Times New Roman" w:hint="eastAsia"/>
              </w:rPr>
              <w:t>已登录用户可以修改自己的手机号码、头像等信息。</w:t>
            </w:r>
            <w:r>
              <w:rPr>
                <w:rFonts w:ascii="Times New Roman" w:hAnsi="Times New Roman" w:cs="Times New Roman" w:hint="eastAsia"/>
              </w:rPr>
              <w:br/>
            </w:r>
            <w:r>
              <w:rPr>
                <w:rFonts w:ascii="Times New Roman" w:hAnsi="Times New Roman" w:cs="Times New Roman" w:hint="eastAsia"/>
              </w:rPr>
              <w:t>用户可以手动进行退出登录。</w:t>
            </w:r>
          </w:p>
        </w:tc>
      </w:tr>
      <w:tr w:rsidR="00D510A1">
        <w:trPr>
          <w:trHeight w:val="983"/>
        </w:trPr>
        <w:tc>
          <w:tcPr>
            <w:tcW w:w="1463" w:type="dxa"/>
            <w:vMerge/>
          </w:tcPr>
          <w:p w:rsidR="00D510A1" w:rsidRDefault="00D510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参数配置</w:t>
            </w:r>
          </w:p>
        </w:tc>
        <w:tc>
          <w:tcPr>
            <w:tcW w:w="4929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支持慢病平台地址配置功能，包含：支持根据不同网络情况可以手动修改平台接口地址。受信息</w:t>
            </w:r>
            <w:proofErr w:type="gramStart"/>
            <w:r>
              <w:rPr>
                <w:rFonts w:ascii="Times New Roman" w:hAnsi="Times New Roman" w:cs="Times New Roman" w:hint="eastAsia"/>
              </w:rPr>
              <w:t>处网络</w:t>
            </w:r>
            <w:proofErr w:type="gramEnd"/>
            <w:r>
              <w:rPr>
                <w:rFonts w:ascii="Times New Roman" w:hAnsi="Times New Roman" w:cs="Times New Roman" w:hint="eastAsia"/>
              </w:rPr>
              <w:t>安全要求，在院外网络下，部分功能</w:t>
            </w:r>
            <w:proofErr w:type="gramStart"/>
            <w:r>
              <w:rPr>
                <w:rFonts w:ascii="Times New Roman" w:hAnsi="Times New Roman" w:cs="Times New Roman" w:hint="eastAsia"/>
              </w:rPr>
              <w:t>不</w:t>
            </w:r>
            <w:proofErr w:type="gramEnd"/>
            <w:r>
              <w:rPr>
                <w:rFonts w:ascii="Times New Roman" w:hAnsi="Times New Roman" w:cs="Times New Roman" w:hint="eastAsia"/>
              </w:rPr>
              <w:t>可用。</w:t>
            </w:r>
            <w:r>
              <w:rPr>
                <w:rFonts w:ascii="Times New Roman" w:hAnsi="Times New Roman" w:cs="Times New Roman" w:hint="eastAsia"/>
              </w:rPr>
              <w:br/>
            </w:r>
            <w:r>
              <w:rPr>
                <w:rFonts w:ascii="Times New Roman" w:hAnsi="Times New Roman" w:cs="Times New Roman" w:hint="eastAsia"/>
              </w:rPr>
              <w:t>支持字体配置功能，包含：可以配置全局字体大小。</w:t>
            </w:r>
            <w:r>
              <w:rPr>
                <w:rFonts w:ascii="Times New Roman" w:hAnsi="Times New Roman" w:cs="Times New Roman" w:hint="eastAsia"/>
              </w:rPr>
              <w:br/>
            </w:r>
            <w:r>
              <w:rPr>
                <w:rFonts w:ascii="Times New Roman" w:hAnsi="Times New Roman" w:cs="Times New Roman" w:hint="eastAsia"/>
              </w:rPr>
              <w:t>支持系统消息接收配置功能，包含：可以配置是否接收系统消息推送通知。</w:t>
            </w:r>
            <w:r>
              <w:rPr>
                <w:rFonts w:ascii="Times New Roman" w:hAnsi="Times New Roman" w:cs="Times New Roman" w:hint="eastAsia"/>
              </w:rPr>
              <w:br/>
            </w:r>
            <w:r>
              <w:rPr>
                <w:rFonts w:ascii="Times New Roman" w:hAnsi="Times New Roman" w:cs="Times New Roman" w:hint="eastAsia"/>
              </w:rPr>
              <w:t>支持版本更新功能，包含：用来显示当前软件版本，及显</w:t>
            </w:r>
            <w:r>
              <w:rPr>
                <w:rFonts w:ascii="Times New Roman" w:hAnsi="Times New Roman" w:cs="Times New Roman" w:hint="eastAsia"/>
              </w:rPr>
              <w:t>示是否有新版本。</w:t>
            </w:r>
          </w:p>
        </w:tc>
      </w:tr>
    </w:tbl>
    <w:p w:rsidR="00D510A1" w:rsidRDefault="00D510A1">
      <w:pPr>
        <w:spacing w:line="360" w:lineRule="auto"/>
        <w:rPr>
          <w:rFonts w:ascii="Times New Roman" w:hAnsi="Times New Roman" w:cs="Times New Roman"/>
          <w:b/>
        </w:rPr>
      </w:pPr>
    </w:p>
    <w:p w:rsidR="00D510A1" w:rsidRDefault="007F4780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4.</w:t>
      </w:r>
      <w:r>
        <w:rPr>
          <w:rFonts w:ascii="Times New Roman" w:hAnsi="Times New Roman" w:cs="Times New Roman" w:hint="eastAsia"/>
          <w:b/>
        </w:rPr>
        <w:t>慢病管理大数据平台（数据中台）接口对接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63"/>
        <w:gridCol w:w="1904"/>
        <w:gridCol w:w="4929"/>
      </w:tblGrid>
      <w:tr w:rsidR="00D510A1">
        <w:trPr>
          <w:trHeight w:val="509"/>
        </w:trPr>
        <w:tc>
          <w:tcPr>
            <w:tcW w:w="1463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一级</w:t>
            </w:r>
            <w:r>
              <w:rPr>
                <w:rFonts w:ascii="Times New Roman" w:hAnsi="Times New Roman" w:cs="Times New Roman"/>
                <w:b/>
              </w:rPr>
              <w:t>模块</w:t>
            </w:r>
          </w:p>
        </w:tc>
        <w:tc>
          <w:tcPr>
            <w:tcW w:w="1904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功能</w:t>
            </w:r>
          </w:p>
        </w:tc>
        <w:tc>
          <w:tcPr>
            <w:tcW w:w="4929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功能</w:t>
            </w:r>
            <w:r>
              <w:rPr>
                <w:rFonts w:ascii="Times New Roman" w:hAnsi="Times New Roman" w:cs="Times New Roman"/>
                <w:b/>
              </w:rPr>
              <w:t>描述</w:t>
            </w:r>
          </w:p>
        </w:tc>
      </w:tr>
      <w:tr w:rsidR="00D510A1">
        <w:trPr>
          <w:trHeight w:val="509"/>
        </w:trPr>
        <w:tc>
          <w:tcPr>
            <w:tcW w:w="1463" w:type="dxa"/>
            <w:vMerge w:val="restart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慢病管理大数据平台（数据中台）接口对接</w:t>
            </w:r>
          </w:p>
        </w:tc>
        <w:tc>
          <w:tcPr>
            <w:tcW w:w="1904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分中心慢病数据接口对接服务</w:t>
            </w:r>
            <w:r>
              <w:rPr>
                <w:rFonts w:ascii="Times New Roman" w:hAnsi="Times New Roman" w:cs="Times New Roman" w:hint="eastAsia"/>
              </w:rPr>
              <w:tab/>
            </w:r>
          </w:p>
        </w:tc>
        <w:tc>
          <w:tcPr>
            <w:tcW w:w="4929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分中心对接到数据中台中，需要按每家分中心情况提供专有的“接口对接</w:t>
            </w:r>
          </w:p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”技术服务，分中心量表模板同步接口，诊疗计划模板同步接口，患者信息同步接口，病种、科室、队列同步接口，消息通知同步接口。</w:t>
            </w:r>
          </w:p>
        </w:tc>
      </w:tr>
      <w:tr w:rsidR="00D510A1">
        <w:trPr>
          <w:trHeight w:val="509"/>
        </w:trPr>
        <w:tc>
          <w:tcPr>
            <w:tcW w:w="1463" w:type="dxa"/>
            <w:vMerge/>
          </w:tcPr>
          <w:p w:rsidR="00D510A1" w:rsidRDefault="00D510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网络、硬件及设备配置服务</w:t>
            </w:r>
          </w:p>
        </w:tc>
        <w:tc>
          <w:tcPr>
            <w:tcW w:w="4929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分中心对接到数据中台过程中，需要按每家分中心情况提供专有的“硬件与网络配置”技术服务，按每家医院的网络情况针对同步接口在前置机及中间件（如：</w:t>
            </w:r>
            <w:proofErr w:type="spellStart"/>
            <w:r>
              <w:rPr>
                <w:rFonts w:ascii="Times New Roman" w:hAnsi="Times New Roman" w:cs="Times New Roman" w:hint="eastAsia"/>
              </w:rPr>
              <w:t>Nginx</w:t>
            </w:r>
            <w:proofErr w:type="spellEnd"/>
            <w:r>
              <w:rPr>
                <w:rFonts w:ascii="Times New Roman" w:hAnsi="Times New Roman" w:cs="Times New Roman" w:hint="eastAsia"/>
              </w:rPr>
              <w:t>）的配置，包含对接口的网络通信、反向代理、负载均衡、</w:t>
            </w:r>
            <w:r>
              <w:rPr>
                <w:rFonts w:ascii="Times New Roman" w:hAnsi="Times New Roman" w:cs="Times New Roman" w:hint="eastAsia"/>
              </w:rPr>
              <w:t xml:space="preserve">API </w:t>
            </w:r>
            <w:r>
              <w:rPr>
                <w:rFonts w:ascii="Times New Roman" w:hAnsi="Times New Roman" w:cs="Times New Roman" w:hint="eastAsia"/>
              </w:rPr>
              <w:t>网关、请求路由、安全等配置。</w:t>
            </w:r>
          </w:p>
        </w:tc>
      </w:tr>
    </w:tbl>
    <w:p w:rsidR="00D510A1" w:rsidRDefault="00D510A1">
      <w:pPr>
        <w:spacing w:line="360" w:lineRule="auto"/>
        <w:rPr>
          <w:rFonts w:ascii="Times New Roman" w:hAnsi="Times New Roman" w:cs="Times New Roman"/>
          <w:b/>
        </w:rPr>
      </w:pPr>
    </w:p>
    <w:p w:rsidR="00D510A1" w:rsidRDefault="007F4780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5.</w:t>
      </w:r>
      <w:r>
        <w:rPr>
          <w:rFonts w:ascii="Times New Roman" w:hAnsi="Times New Roman" w:cs="Times New Roman" w:hint="eastAsia"/>
          <w:b/>
        </w:rPr>
        <w:t>配套硬件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63"/>
        <w:gridCol w:w="1904"/>
        <w:gridCol w:w="4929"/>
      </w:tblGrid>
      <w:tr w:rsidR="00D510A1">
        <w:trPr>
          <w:trHeight w:val="509"/>
        </w:trPr>
        <w:tc>
          <w:tcPr>
            <w:tcW w:w="1463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lastRenderedPageBreak/>
              <w:t>一级</w:t>
            </w:r>
            <w:r>
              <w:rPr>
                <w:rFonts w:ascii="Times New Roman" w:hAnsi="Times New Roman" w:cs="Times New Roman"/>
                <w:b/>
              </w:rPr>
              <w:t>模块</w:t>
            </w:r>
          </w:p>
        </w:tc>
        <w:tc>
          <w:tcPr>
            <w:tcW w:w="1904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功能</w:t>
            </w:r>
          </w:p>
        </w:tc>
        <w:tc>
          <w:tcPr>
            <w:tcW w:w="4929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功能</w:t>
            </w:r>
            <w:r>
              <w:rPr>
                <w:rFonts w:ascii="Times New Roman" w:hAnsi="Times New Roman" w:cs="Times New Roman"/>
                <w:b/>
              </w:rPr>
              <w:t>描述</w:t>
            </w:r>
          </w:p>
        </w:tc>
      </w:tr>
      <w:tr w:rsidR="00D510A1">
        <w:trPr>
          <w:trHeight w:val="509"/>
        </w:trPr>
        <w:tc>
          <w:tcPr>
            <w:tcW w:w="1463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配套硬件</w:t>
            </w:r>
          </w:p>
        </w:tc>
        <w:tc>
          <w:tcPr>
            <w:tcW w:w="1904" w:type="dxa"/>
          </w:tcPr>
          <w:p w:rsidR="00D510A1" w:rsidRDefault="007F4780" w:rsidP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平板电脑设备（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台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4929" w:type="dxa"/>
          </w:tcPr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专</w:t>
            </w:r>
            <w:r>
              <w:rPr>
                <w:rFonts w:ascii="Times New Roman" w:hAnsi="Times New Roman" w:cs="Times New Roman" w:hint="eastAsia"/>
              </w:rPr>
              <w:t>用平板电脑设备用于完全适配慢病管理系统（平板端）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 w:hint="eastAsia"/>
              </w:rPr>
              <w:t>平板电脑设备的参数是使用以下或更高的配置：</w:t>
            </w:r>
          </w:p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CPU: </w:t>
            </w:r>
            <w:r>
              <w:rPr>
                <w:rFonts w:ascii="Times New Roman" w:hAnsi="Times New Roman" w:cs="Times New Roman" w:hint="eastAsia"/>
              </w:rPr>
              <w:t>紫光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 w:hint="eastAsia"/>
              </w:rPr>
              <w:t>展锐虎贲</w:t>
            </w:r>
            <w:proofErr w:type="gramEnd"/>
            <w:r>
              <w:rPr>
                <w:rFonts w:ascii="Times New Roman" w:hAnsi="Times New Roman" w:cs="Times New Roman" w:hint="eastAsia"/>
              </w:rPr>
              <w:t xml:space="preserve"> T606 </w:t>
            </w:r>
            <w:r>
              <w:rPr>
                <w:rFonts w:ascii="Times New Roman" w:hAnsi="Times New Roman" w:cs="Times New Roman" w:hint="eastAsia"/>
              </w:rPr>
              <w:t>或晓龙</w:t>
            </w:r>
            <w:r>
              <w:rPr>
                <w:rFonts w:ascii="Times New Roman" w:hAnsi="Times New Roman" w:cs="Times New Roman" w:hint="eastAsia"/>
              </w:rPr>
              <w:t xml:space="preserve"> 660</w:t>
            </w:r>
            <w:r>
              <w:rPr>
                <w:rFonts w:ascii="Times New Roman" w:hAnsi="Times New Roman" w:cs="Times New Roman" w:hint="eastAsia"/>
              </w:rPr>
              <w:t>处理器</w:t>
            </w:r>
          </w:p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运行内存：</w:t>
            </w:r>
            <w:r>
              <w:rPr>
                <w:rFonts w:ascii="Times New Roman" w:hAnsi="Times New Roman" w:cs="Times New Roman" w:hint="eastAsia"/>
              </w:rPr>
              <w:t xml:space="preserve">  6GB </w:t>
            </w:r>
          </w:p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内存：</w:t>
            </w:r>
            <w:r>
              <w:rPr>
                <w:rFonts w:ascii="Times New Roman" w:hAnsi="Times New Roman" w:cs="Times New Roman" w:hint="eastAsia"/>
              </w:rPr>
              <w:t xml:space="preserve"> 128GB </w:t>
            </w:r>
          </w:p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屏幕：</w:t>
            </w:r>
            <w:r>
              <w:rPr>
                <w:rFonts w:ascii="Times New Roman" w:hAnsi="Times New Roman" w:cs="Times New Roman" w:hint="eastAsia"/>
              </w:rPr>
              <w:t xml:space="preserve"> 10 </w:t>
            </w:r>
            <w:r>
              <w:rPr>
                <w:rFonts w:ascii="Times New Roman" w:hAnsi="Times New Roman" w:cs="Times New Roman" w:hint="eastAsia"/>
              </w:rPr>
              <w:t>寸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的触摸屏</w:t>
            </w:r>
          </w:p>
          <w:p w:rsidR="00D510A1" w:rsidRDefault="007F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操作系统：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</w:rPr>
              <w:t>Andro</w:t>
            </w:r>
            <w:proofErr w:type="spellEnd"/>
            <w:r>
              <w:rPr>
                <w:rFonts w:ascii="Times New Roman" w:hAnsi="Times New Roman" w:cs="Times New Roman" w:hint="eastAsia"/>
              </w:rPr>
              <w:t xml:space="preserve"> id 10  </w:t>
            </w:r>
            <w:r>
              <w:rPr>
                <w:rFonts w:ascii="Times New Roman" w:hAnsi="Times New Roman" w:cs="Times New Roman" w:hint="eastAsia"/>
              </w:rPr>
              <w:t>系统</w:t>
            </w:r>
          </w:p>
        </w:tc>
      </w:tr>
    </w:tbl>
    <w:p w:rsidR="00D510A1" w:rsidRDefault="00D510A1">
      <w:pPr>
        <w:spacing w:line="360" w:lineRule="auto"/>
        <w:rPr>
          <w:rFonts w:ascii="Times New Roman" w:hAnsi="Times New Roman" w:cs="Times New Roman"/>
        </w:rPr>
      </w:pPr>
    </w:p>
    <w:p w:rsidR="00D510A1" w:rsidRDefault="00D510A1">
      <w:pPr>
        <w:spacing w:line="360" w:lineRule="auto"/>
        <w:rPr>
          <w:rFonts w:ascii="Times New Roman" w:hAnsi="Times New Roman" w:cs="Times New Roman"/>
        </w:rPr>
      </w:pPr>
    </w:p>
    <w:p w:rsidR="00D510A1" w:rsidRDefault="00D510A1">
      <w:pPr>
        <w:spacing w:line="360" w:lineRule="auto"/>
        <w:rPr>
          <w:rFonts w:ascii="Times New Roman" w:hAnsi="Times New Roman" w:cs="Times New Roman"/>
        </w:rPr>
      </w:pPr>
    </w:p>
    <w:sectPr w:rsidR="00D51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E1F"/>
    <w:rsid w:val="FED65783"/>
    <w:rsid w:val="00000E1F"/>
    <w:rsid w:val="00076DF5"/>
    <w:rsid w:val="00094185"/>
    <w:rsid w:val="000D390A"/>
    <w:rsid w:val="000E148C"/>
    <w:rsid w:val="000F2B76"/>
    <w:rsid w:val="00104B3A"/>
    <w:rsid w:val="001172AA"/>
    <w:rsid w:val="0012028B"/>
    <w:rsid w:val="001D610A"/>
    <w:rsid w:val="00233481"/>
    <w:rsid w:val="002424EF"/>
    <w:rsid w:val="0028698C"/>
    <w:rsid w:val="003161AD"/>
    <w:rsid w:val="00332F42"/>
    <w:rsid w:val="003874A0"/>
    <w:rsid w:val="003B381B"/>
    <w:rsid w:val="003E2141"/>
    <w:rsid w:val="004732C8"/>
    <w:rsid w:val="00484BC4"/>
    <w:rsid w:val="0049620B"/>
    <w:rsid w:val="005E2C06"/>
    <w:rsid w:val="007432C8"/>
    <w:rsid w:val="007522D1"/>
    <w:rsid w:val="007A397C"/>
    <w:rsid w:val="007E0089"/>
    <w:rsid w:val="007F4780"/>
    <w:rsid w:val="0085710B"/>
    <w:rsid w:val="0092187C"/>
    <w:rsid w:val="00A23FFF"/>
    <w:rsid w:val="00A27DF0"/>
    <w:rsid w:val="00A81F27"/>
    <w:rsid w:val="00A847F6"/>
    <w:rsid w:val="00AC146A"/>
    <w:rsid w:val="00C33B24"/>
    <w:rsid w:val="00C446E5"/>
    <w:rsid w:val="00C741F0"/>
    <w:rsid w:val="00D510A1"/>
    <w:rsid w:val="00D6010F"/>
    <w:rsid w:val="00DD196B"/>
    <w:rsid w:val="00DD33AA"/>
    <w:rsid w:val="00DF2445"/>
    <w:rsid w:val="00E24325"/>
    <w:rsid w:val="00E30D72"/>
    <w:rsid w:val="00E77744"/>
    <w:rsid w:val="00EF7F29"/>
    <w:rsid w:val="00F24C6B"/>
    <w:rsid w:val="00F55ED5"/>
    <w:rsid w:val="00F61A40"/>
    <w:rsid w:val="00F84923"/>
    <w:rsid w:val="00F87AE1"/>
    <w:rsid w:val="00FA3FF7"/>
    <w:rsid w:val="00FB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90EE66A-094A-4666-9D31-D10E2F04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A315E1ED-DE89-4EA6-A5E1-EE52423F5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7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范美玉</dc:creator>
  <cp:lastModifiedBy>廖欣欣</cp:lastModifiedBy>
  <cp:revision>2</cp:revision>
  <dcterms:created xsi:type="dcterms:W3CDTF">2025-09-25T10:15:00Z</dcterms:created>
  <dcterms:modified xsi:type="dcterms:W3CDTF">2025-10-14T02:31:00Z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