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9D79C">
      <w:pPr>
        <w:jc w:val="center"/>
        <w:rPr>
          <w:rFonts w:hint="eastAsia"/>
          <w:b/>
          <w:bCs w:val="0"/>
          <w:sz w:val="32"/>
          <w:szCs w:val="32"/>
        </w:rPr>
      </w:pPr>
      <w:r>
        <w:rPr>
          <w:rFonts w:hint="eastAsia"/>
          <w:b/>
          <w:bCs w:val="0"/>
          <w:sz w:val="32"/>
          <w:szCs w:val="32"/>
          <w:lang w:val="en-US" w:eastAsia="zh-CN"/>
        </w:rPr>
        <w:t>病理</w:t>
      </w:r>
      <w:r>
        <w:rPr>
          <w:rFonts w:hint="eastAsia"/>
          <w:b/>
          <w:bCs w:val="0"/>
          <w:sz w:val="32"/>
          <w:szCs w:val="32"/>
        </w:rPr>
        <w:t>检测项目采购需求</w:t>
      </w:r>
    </w:p>
    <w:p w14:paraId="41EAF15C">
      <w:pPr>
        <w:ind w:left="0" w:leftChars="0" w:firstLine="0" w:firstLineChars="0"/>
        <w:rPr>
          <w:rFonts w:hint="eastAsia"/>
        </w:rPr>
      </w:pPr>
    </w:p>
    <w:p w14:paraId="222845B8">
      <w:pPr>
        <w:rPr>
          <w:kern w:val="2"/>
        </w:rPr>
      </w:pPr>
      <w:r>
        <w:rPr>
          <w:rFonts w:hint="eastAsia"/>
          <w:kern w:val="2"/>
        </w:rPr>
        <w:t>一、项目内容</w:t>
      </w:r>
    </w:p>
    <w:p w14:paraId="312DC0C0">
      <w:r>
        <w:rPr>
          <w:rFonts w:hint="eastAsia"/>
        </w:rPr>
        <w:t>协助广东省中医院开展</w:t>
      </w:r>
      <w:r>
        <w:rPr>
          <w:rFonts w:hint="eastAsia"/>
          <w:lang w:val="en-US" w:eastAsia="zh-CN"/>
        </w:rPr>
        <w:t>病理</w:t>
      </w:r>
      <w:bookmarkStart w:id="0" w:name="_GoBack"/>
      <w:bookmarkEnd w:id="0"/>
      <w:r>
        <w:rPr>
          <w:rFonts w:hint="eastAsia"/>
        </w:rPr>
        <w:t>检测项目，从仪器设备、耗材试剂、样本运输、检测分析、质量控制、项目本地化自主检测、宣教推广、科学研究等多方面提升服务能力。</w:t>
      </w:r>
    </w:p>
    <w:p w14:paraId="36263FFA">
      <w:pPr>
        <w:rPr>
          <w:rFonts w:ascii="黑体" w:hAnsi="黑体" w:eastAsia="黑体" w:cs="黑体"/>
          <w:kern w:val="2"/>
          <w:highlight w:val="yellow"/>
        </w:rPr>
      </w:pPr>
      <w:r>
        <w:rPr>
          <w:rFonts w:hint="eastAsia"/>
        </w:rPr>
        <w:t>详见附件2。</w:t>
      </w:r>
    </w:p>
    <w:p w14:paraId="59227CA2">
      <w:pPr>
        <w:rPr>
          <w:kern w:val="2"/>
        </w:rPr>
      </w:pPr>
      <w:r>
        <w:rPr>
          <w:rFonts w:hint="eastAsia"/>
          <w:kern w:val="2"/>
        </w:rPr>
        <w:t>二、</w:t>
      </w:r>
      <w:r>
        <w:rPr>
          <w:rFonts w:hint="eastAsia"/>
        </w:rPr>
        <w:t>资格/资质要求</w:t>
      </w:r>
    </w:p>
    <w:p w14:paraId="418C97EA">
      <w:pPr>
        <w:pStyle w:val="18"/>
        <w:ind w:firstLine="640"/>
      </w:pPr>
      <w:r>
        <w:rPr>
          <w:rFonts w:hint="eastAsia" w:ascii="仿宋" w:hAnsi="仿宋"/>
        </w:rPr>
        <w:t>1.</w:t>
      </w:r>
      <w:r>
        <w:rPr>
          <w:rFonts w:hint="eastAsia"/>
        </w:rPr>
        <w:t xml:space="preserve"> 被委托方具备《临床基因扩增检验实验室》资质，有《医疗机构执业许可证》,获得ISO15189认证；</w:t>
      </w:r>
    </w:p>
    <w:p w14:paraId="28A19724">
      <w:pPr>
        <w:pStyle w:val="18"/>
        <w:ind w:firstLine="640"/>
      </w:pPr>
      <w:r>
        <w:rPr>
          <w:rFonts w:hint="eastAsia" w:ascii="仿宋" w:hAnsi="仿宋"/>
        </w:rPr>
        <w:t>2.</w:t>
      </w:r>
      <w:r>
        <w:rPr>
          <w:rFonts w:hint="eastAsia"/>
        </w:rPr>
        <w:t xml:space="preserve"> 被委托方必须是具有独立承担民事责任能力的在中华人民共和国境内注册的法人或其他组织，报名时提交有效的营业执照（或事业法人登记证等相关证明）副本复印件；</w:t>
      </w:r>
    </w:p>
    <w:p w14:paraId="22C58BB2">
      <w:pPr>
        <w:pStyle w:val="18"/>
        <w:ind w:firstLine="640"/>
      </w:pPr>
      <w:r>
        <w:rPr>
          <w:rFonts w:hint="eastAsia" w:ascii="仿宋" w:hAnsi="仿宋"/>
        </w:rPr>
        <w:t>3.</w:t>
      </w:r>
      <w:r>
        <w:rPr>
          <w:rFonts w:hint="eastAsia"/>
        </w:rPr>
        <w:t xml:space="preserve"> 被委托方有规律参加临床检验中心组织的室间质评；</w:t>
      </w:r>
    </w:p>
    <w:p w14:paraId="3AB1E1B2">
      <w:pPr>
        <w:pStyle w:val="18"/>
        <w:ind w:firstLine="640"/>
        <w:rPr>
          <w:rFonts w:ascii="仿宋" w:hAnsi="仿宋"/>
        </w:rPr>
      </w:pPr>
      <w:r>
        <w:rPr>
          <w:rFonts w:hint="eastAsia" w:ascii="仿宋" w:hAnsi="仿宋"/>
        </w:rPr>
        <w:t>4. 设备与试剂有医疗器械注册证优先；</w:t>
      </w:r>
    </w:p>
    <w:p w14:paraId="233BB76F">
      <w:r>
        <w:rPr>
          <w:rFonts w:hint="eastAsia"/>
        </w:rPr>
        <w:t>5. 报名人必须是中华人民共和国境内注册的独立法人，持有有效的企业法人营业执照，并具有承担民事责任能力；</w:t>
      </w:r>
    </w:p>
    <w:p w14:paraId="5250E720">
      <w:r>
        <w:rPr>
          <w:rFonts w:hint="eastAsia"/>
        </w:rPr>
        <w:t>6.</w:t>
      </w:r>
      <w:r>
        <w:rPr>
          <w:rFonts w:hint="eastAsia" w:ascii="仿宋_GB2312" w:eastAsia="仿宋_GB2312"/>
          <w:color w:val="333333"/>
          <w:shd w:val="clear" w:color="auto" w:fill="FFFFFF"/>
        </w:rPr>
        <w:t xml:space="preserve"> </w:t>
      </w:r>
      <w:r>
        <w:rPr>
          <w:rFonts w:hint="eastAsia"/>
        </w:rPr>
        <w:t>具有良好的商业信誉，近年来有较好业绩且无不良商业行为；</w:t>
      </w:r>
    </w:p>
    <w:p w14:paraId="1CA8293A">
      <w:r>
        <w:rPr>
          <w:rFonts w:hint="eastAsia"/>
        </w:rPr>
        <w:t>7.被委托方具有国家认证认可监督管理部门批准设立的认证机构颁发并在有效期内的信息技术服务管理体系认证和信息安全管理体系认证。</w:t>
      </w:r>
    </w:p>
    <w:p w14:paraId="415F9436">
      <w:pPr>
        <w:rPr>
          <w:kern w:val="2"/>
        </w:rPr>
      </w:pPr>
      <w:r>
        <w:rPr>
          <w:rFonts w:hint="eastAsia"/>
          <w:kern w:val="2"/>
        </w:rPr>
        <w:t>三、具体要求</w:t>
      </w:r>
    </w:p>
    <w:p w14:paraId="4732AFED">
      <w:pPr>
        <w:pStyle w:val="18"/>
        <w:ind w:firstLine="640"/>
      </w:pPr>
      <w:r>
        <w:rPr>
          <w:rFonts w:hint="eastAsia"/>
        </w:rPr>
        <w:t>1. 在合同期内提供稳定可靠的高通量测序检测诊断试剂及项目服务，协助提升实验室本地化自主检测的能力，</w:t>
      </w:r>
      <w:r>
        <w:rPr>
          <w:rFonts w:hint="eastAsia"/>
          <w:color w:val="FF0000"/>
          <w:lang w:eastAsia="zh-CN"/>
        </w:rPr>
        <w:t>配备</w:t>
      </w:r>
      <w:r>
        <w:rPr>
          <w:rFonts w:hint="eastAsia"/>
        </w:rPr>
        <w:t>项目开展的相关设备如自动建库仪、测序仪及生信分析报告一体机；测序仪有证优先；配套肿瘤肿瘤NGS全自动分析解读一体机有证优先，能直接读取测序原始数据。</w:t>
      </w:r>
    </w:p>
    <w:p w14:paraId="2A37E0E8">
      <w:pPr>
        <w:pStyle w:val="18"/>
        <w:ind w:firstLine="640"/>
      </w:pPr>
      <w:r>
        <w:rPr>
          <w:rFonts w:hint="eastAsia"/>
        </w:rPr>
        <w:t>2.免费提供特殊检查项目所需要的相关耗材（如容器、保存液、固定液等）、知情同意书、专用申请单等；</w:t>
      </w:r>
    </w:p>
    <w:p w14:paraId="3409036A">
      <w:pPr>
        <w:pStyle w:val="18"/>
        <w:ind w:firstLine="640"/>
        <w:rPr>
          <w:rFonts w:hint="default" w:eastAsia="仿宋"/>
          <w:lang w:val="en-US" w:eastAsia="zh-CN"/>
        </w:rPr>
      </w:pPr>
      <w:r>
        <w:rPr>
          <w:rFonts w:hint="eastAsia"/>
        </w:rPr>
        <w:t>3.配备完善医疗物流系统，保证标本接收、送检运输过程的安全与规范，保证标本的检测前质量，确保运输过程的样品质量和环境安全；</w:t>
      </w:r>
      <w:r>
        <w:rPr>
          <w:rFonts w:hint="eastAsia"/>
          <w:lang w:val="en-US" w:eastAsia="zh-CN"/>
        </w:rPr>
        <w:t>对于外送第三方实验室检测的标本，标本接收、前处理等由公司安排人员前来医院病理科处理和接受，每周一至周六12：00前将病理科当日所收集所委托检测项目的标本安排专人送回委托方实验室检测，并与委托方工作人员进行当面的交接签字。</w:t>
      </w:r>
    </w:p>
    <w:p w14:paraId="52205F2E">
      <w:pPr>
        <w:pStyle w:val="18"/>
        <w:ind w:firstLine="640"/>
      </w:pPr>
      <w:r>
        <w:rPr>
          <w:rFonts w:hint="eastAsia"/>
        </w:rPr>
        <w:t>4.严格按照核酸扩增实验室要求进行样本检测，在约定的报告周期内出具报告；</w:t>
      </w:r>
    </w:p>
    <w:p w14:paraId="1B60EC72">
      <w:pPr>
        <w:pStyle w:val="18"/>
        <w:ind w:firstLine="640"/>
      </w:pPr>
      <w:r>
        <w:rPr>
          <w:rFonts w:hint="eastAsia"/>
        </w:rPr>
        <w:t>5.为委托方保密，未经同意不得向第三方泄露委托检验样本的项目、内容及结果；</w:t>
      </w:r>
    </w:p>
    <w:p w14:paraId="15A2BF8C">
      <w:pPr>
        <w:pStyle w:val="18"/>
        <w:ind w:firstLine="640"/>
      </w:pPr>
      <w:r>
        <w:rPr>
          <w:rFonts w:hint="eastAsia"/>
        </w:rPr>
        <w:t>6.检测样本、检测数据的所有权、使用权为委托方所有，未经许可不得挪作它用。能够按照国家、按委托方要求妥善保存及销毁检验后样本；</w:t>
      </w:r>
    </w:p>
    <w:p w14:paraId="02DBEB44">
      <w:pPr>
        <w:pStyle w:val="18"/>
        <w:ind w:firstLine="640"/>
      </w:pPr>
      <w:r>
        <w:rPr>
          <w:rFonts w:hint="eastAsia"/>
        </w:rPr>
        <w:t>7.被委托方必须保证检验结果的公正性，不受任何诱使或压力对检验结果进行修正及更改；</w:t>
      </w:r>
    </w:p>
    <w:p w14:paraId="0225C430">
      <w:pPr>
        <w:pStyle w:val="18"/>
        <w:ind w:firstLine="640"/>
      </w:pPr>
      <w:r>
        <w:rPr>
          <w:rFonts w:hint="eastAsia"/>
        </w:rPr>
        <w:t>8.被委托方建立快速的客户服务反应机制，如有针对被委托方或委托方与双方的投诉或需处理的情况，被委托方有义务协助委托方及时沟通处理；</w:t>
      </w:r>
    </w:p>
    <w:p w14:paraId="237910FB">
      <w:pPr>
        <w:pStyle w:val="18"/>
        <w:ind w:firstLine="640"/>
      </w:pPr>
      <w:r>
        <w:rPr>
          <w:rFonts w:hint="eastAsia"/>
        </w:rPr>
        <w:t>9.由于被委托方的原因，发生如下情况所造成的委托方一切损失均由被委托方承担：（1）被委托方因各种原因造成检验标本废弃、检验结果错误或不准确或报告延迟、检验危急值和优先阳性值未及时报告等引起的医疗纠纷；（2）因被委托方违反国家、广东省和广州市基本医疗服务收费标准违规收费造成委托方被查获的违规金额及其罚款。</w:t>
      </w:r>
    </w:p>
    <w:p w14:paraId="42574500">
      <w:r>
        <w:rPr>
          <w:rFonts w:hint="eastAsia"/>
        </w:rPr>
        <w:t>10.根据委托方业务发展需要，双方可以通过补签订附加协议新增检验项目；</w:t>
      </w:r>
    </w:p>
    <w:p w14:paraId="1D9F1C39">
      <w:pPr>
        <w:pStyle w:val="18"/>
        <w:ind w:firstLine="640"/>
      </w:pPr>
      <w:r>
        <w:rPr>
          <w:rFonts w:hint="eastAsia"/>
        </w:rPr>
        <w:t>11.委托方根据业务发展需要以及所具有的检验条件，有权随时收回委托的检验项目，被委托方不得以任何理由拒绝。</w:t>
      </w:r>
    </w:p>
    <w:p w14:paraId="687976BC">
      <w:pPr>
        <w:rPr>
          <w:kern w:val="2"/>
        </w:rPr>
      </w:pPr>
      <w:r>
        <w:rPr>
          <w:rFonts w:hint="eastAsia"/>
          <w:kern w:val="2"/>
        </w:rPr>
        <w:t xml:space="preserve">四、项目期限 </w:t>
      </w:r>
    </w:p>
    <w:p w14:paraId="00A27A6F">
      <w:pPr>
        <w:pStyle w:val="17"/>
        <w:ind w:firstLine="640"/>
        <w:rPr>
          <w:rFonts w:ascii="宋体" w:hAnsi="宋体" w:cs="新宋体"/>
          <w:sz w:val="22"/>
          <w:szCs w:val="22"/>
        </w:rPr>
      </w:pPr>
      <w:r>
        <w:rPr>
          <w:rFonts w:hint="eastAsia"/>
        </w:rPr>
        <w:t>自协议签订之日起3年。</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F84D92-02B2-408A-90BF-F66263B9A5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2E026496-8956-4710-AFB5-699647E57B9A}"/>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embedRegular r:id="rId3" w:fontKey="{B81F1B80-C227-4A5F-8FB6-170A78BC50A3}"/>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modern"/>
    <w:pitch w:val="default"/>
    <w:sig w:usb0="00000203" w:usb1="288F0000" w:usb2="00000006" w:usb3="00000000" w:csb0="00040001" w:csb1="00000000"/>
    <w:embedRegular r:id="rId4" w:fontKey="{8C63F0DC-5B94-4649-AEAD-43AFA32B2D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A0F82">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39D4B">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D7C85">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3BEAA">
    <w:pPr>
      <w:pStyle w:val="1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1183B">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20144">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chineseCountingThousand"/>
      <w:suff w:val="space"/>
      <w:lvlText w:val="%1、"/>
      <w:lvlJc w:val="left"/>
      <w:pPr>
        <w:ind w:left="284" w:hanging="284"/>
      </w:pPr>
      <w:rPr>
        <w:rFonts w:hint="eastAsia" w:ascii="等线 Light" w:hAnsi="等线 Light" w:eastAsia="宋体"/>
        <w:b/>
        <w:bCs w:val="0"/>
        <w:i w:val="0"/>
        <w:iCs w:val="0"/>
        <w:caps w:val="0"/>
        <w:smallCaps w:val="0"/>
        <w:outline w:val="0"/>
        <w:emboss w:val="0"/>
        <w:imprint w:val="0"/>
        <w:vanish w:val="0"/>
        <w:color w:val="auto"/>
        <w:spacing w:val="0"/>
        <w:position w:val="0"/>
        <w:sz w:val="44"/>
        <w:szCs w:val="44"/>
        <w:u w:val="none"/>
        <w:vertAlign w:val="baseline"/>
      </w:rPr>
    </w:lvl>
    <w:lvl w:ilvl="1" w:tentative="0">
      <w:start w:val="1"/>
      <w:numFmt w:val="decimal"/>
      <w:pStyle w:val="3"/>
      <w:isLgl/>
      <w:suff w:val="space"/>
      <w:lvlText w:val="%1.%2"/>
      <w:lvlJc w:val="left"/>
      <w:pPr>
        <w:ind w:left="680" w:hanging="680"/>
      </w:pPr>
      <w:rPr>
        <w:rFonts w:hint="eastAsia" w:ascii="Times New Roman" w:hAnsi="Times New Roman" w:eastAsia="宋体"/>
        <w:b/>
        <w:i w:val="0"/>
        <w:sz w:val="36"/>
        <w:szCs w:val="32"/>
      </w:rPr>
    </w:lvl>
    <w:lvl w:ilvl="2" w:tentative="0">
      <w:start w:val="1"/>
      <w:numFmt w:val="decimal"/>
      <w:isLgl/>
      <w:suff w:val="space"/>
      <w:lvlText w:val="%1.%2.%3"/>
      <w:lvlJc w:val="left"/>
      <w:pPr>
        <w:ind w:left="794" w:hanging="794"/>
      </w:pPr>
      <w:rPr>
        <w:rFonts w:hint="eastAsia" w:ascii="Times New Roman" w:hAnsi="Times New Roman" w:cs="Times New Roman"/>
        <w:b/>
        <w:bCs w:val="0"/>
        <w:i w:val="0"/>
        <w:iCs w:val="0"/>
        <w:caps w:val="0"/>
        <w:smallCaps w:val="0"/>
        <w:vanish w:val="0"/>
        <w:color w:val="000000"/>
        <w:spacing w:val="0"/>
        <w:position w:val="0"/>
        <w:u w:val="none"/>
        <w:vertAlign w:val="baseline"/>
      </w:rPr>
    </w:lvl>
    <w:lvl w:ilvl="3" w:tentative="0">
      <w:start w:val="1"/>
      <w:numFmt w:val="decimal"/>
      <w:isLgl/>
      <w:suff w:val="space"/>
      <w:lvlText w:val="%1.%2.%3.%4"/>
      <w:lvlJc w:val="left"/>
      <w:pPr>
        <w:ind w:left="907" w:hanging="907"/>
      </w:pPr>
      <w:rPr>
        <w:rFonts w:hint="eastAsia" w:ascii="Times New Roman" w:hAnsi="Times New Roman"/>
        <w:b/>
        <w:bCs w:val="0"/>
        <w:i w:val="0"/>
        <w:iCs w:val="0"/>
        <w:caps w:val="0"/>
        <w:smallCaps w:val="0"/>
        <w:outline w:val="0"/>
        <w:emboss w:val="0"/>
        <w:imprint w:val="0"/>
        <w:vanish w:val="0"/>
        <w:spacing w:val="0"/>
        <w:position w:val="0"/>
        <w:sz w:val="30"/>
        <w:u w:val="none"/>
        <w:vertAlign w:val="baseline"/>
      </w:rPr>
    </w:lvl>
    <w:lvl w:ilvl="4" w:tentative="0">
      <w:start w:val="1"/>
      <w:numFmt w:val="decimal"/>
      <w:isLgl/>
      <w:suff w:val="space"/>
      <w:lvlText w:val="%1.%2.%3.%4.%5"/>
      <w:lvlJc w:val="left"/>
      <w:pPr>
        <w:ind w:left="1134" w:hanging="1134"/>
      </w:pPr>
      <w:rPr>
        <w:rFonts w:hint="eastAsia" w:ascii="Times New Roman" w:hAnsi="Times New Roman" w:eastAsia="宋体"/>
        <w:b/>
        <w:i w:val="0"/>
        <w:sz w:val="28"/>
        <w:szCs w:val="24"/>
      </w:rPr>
    </w:lvl>
    <w:lvl w:ilvl="5" w:tentative="0">
      <w:start w:val="1"/>
      <w:numFmt w:val="decimal"/>
      <w:isLgl/>
      <w:suff w:val="space"/>
      <w:lvlText w:val="%1.%2.%3.%4.%5.%6"/>
      <w:lvlJc w:val="left"/>
      <w:pPr>
        <w:ind w:left="1134" w:hanging="1134"/>
      </w:pPr>
      <w:rPr>
        <w:rFonts w:hint="eastAsia" w:ascii="Times New Roman" w:hAnsi="Times New Roman" w:eastAsia="宋体" w:cs="Times New Roman"/>
        <w:b/>
        <w:i w:val="0"/>
        <w:sz w:val="24"/>
        <w:szCs w:val="24"/>
      </w:rPr>
    </w:lvl>
    <w:lvl w:ilvl="6" w:tentative="0">
      <w:start w:val="1"/>
      <w:numFmt w:val="decimal"/>
      <w:isLgl/>
      <w:suff w:val="space"/>
      <w:lvlText w:val="%1.%2.%3.%4.%5.%6.%7"/>
      <w:lvlJc w:val="left"/>
      <w:pPr>
        <w:ind w:left="3827" w:hanging="3827"/>
      </w:pPr>
      <w:rPr>
        <w:rFonts w:hint="eastAsia" w:ascii="Times New Roman" w:hAnsi="Times New Roman" w:cs="Times New Roman"/>
      </w:rPr>
    </w:lvl>
    <w:lvl w:ilvl="7" w:tentative="0">
      <w:start w:val="1"/>
      <w:numFmt w:val="decimal"/>
      <w:isLgl/>
      <w:suff w:val="space"/>
      <w:lvlText w:val="%1.%2.%3.%4.%5.%6.%7.%8"/>
      <w:lvlJc w:val="left"/>
      <w:pPr>
        <w:ind w:left="4394" w:hanging="4394"/>
      </w:pPr>
      <w:rPr>
        <w:rFonts w:hint="eastAsia"/>
      </w:rPr>
    </w:lvl>
    <w:lvl w:ilvl="8" w:tentative="0">
      <w:start w:val="1"/>
      <w:numFmt w:val="decimal"/>
      <w:isLgl/>
      <w:suff w:val="space"/>
      <w:lvlText w:val="%1.%2.%3.%4.%5.%6.%7.%8.%9"/>
      <w:lvlJc w:val="left"/>
      <w:pPr>
        <w:ind w:left="5102" w:hanging="51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xNmQ2NThkMzkyYjFiMDNiOTQ0MDkyNDc2N2Q2NjgifQ=="/>
  </w:docVars>
  <w:rsids>
    <w:rsidRoot w:val="00A25E8F"/>
    <w:rsid w:val="0000758E"/>
    <w:rsid w:val="000E75F7"/>
    <w:rsid w:val="001A15F6"/>
    <w:rsid w:val="002C3BD2"/>
    <w:rsid w:val="002D63C7"/>
    <w:rsid w:val="00424403"/>
    <w:rsid w:val="0047206F"/>
    <w:rsid w:val="00477FA5"/>
    <w:rsid w:val="004F0EF5"/>
    <w:rsid w:val="005A458B"/>
    <w:rsid w:val="005A532D"/>
    <w:rsid w:val="005D43C5"/>
    <w:rsid w:val="006A0ADC"/>
    <w:rsid w:val="006B6048"/>
    <w:rsid w:val="007305EE"/>
    <w:rsid w:val="007468DA"/>
    <w:rsid w:val="007842BD"/>
    <w:rsid w:val="007914AA"/>
    <w:rsid w:val="008039AD"/>
    <w:rsid w:val="008D1813"/>
    <w:rsid w:val="00981D60"/>
    <w:rsid w:val="00A12BA7"/>
    <w:rsid w:val="00A25E8F"/>
    <w:rsid w:val="00A308DE"/>
    <w:rsid w:val="00A87456"/>
    <w:rsid w:val="00B23784"/>
    <w:rsid w:val="00C72389"/>
    <w:rsid w:val="00C97EDC"/>
    <w:rsid w:val="00CB2DF9"/>
    <w:rsid w:val="00D4265D"/>
    <w:rsid w:val="00D92E86"/>
    <w:rsid w:val="00DC55C4"/>
    <w:rsid w:val="00DC5876"/>
    <w:rsid w:val="00E252D3"/>
    <w:rsid w:val="01572C3B"/>
    <w:rsid w:val="06AA3D1F"/>
    <w:rsid w:val="0F5706DE"/>
    <w:rsid w:val="14670415"/>
    <w:rsid w:val="19DF017E"/>
    <w:rsid w:val="1D671ECC"/>
    <w:rsid w:val="1FBD1A2A"/>
    <w:rsid w:val="21D76BDD"/>
    <w:rsid w:val="223C00C4"/>
    <w:rsid w:val="22587B3D"/>
    <w:rsid w:val="23E170EE"/>
    <w:rsid w:val="25E93148"/>
    <w:rsid w:val="294471C1"/>
    <w:rsid w:val="29AB020B"/>
    <w:rsid w:val="2DAB6EC9"/>
    <w:rsid w:val="2E330948"/>
    <w:rsid w:val="32AD0CE1"/>
    <w:rsid w:val="3A615DDB"/>
    <w:rsid w:val="3C0B7B0F"/>
    <w:rsid w:val="44577991"/>
    <w:rsid w:val="4A574FEA"/>
    <w:rsid w:val="4A9D645F"/>
    <w:rsid w:val="4B4374EF"/>
    <w:rsid w:val="4CB53967"/>
    <w:rsid w:val="51516E38"/>
    <w:rsid w:val="51DD1779"/>
    <w:rsid w:val="552412D1"/>
    <w:rsid w:val="56AC2649"/>
    <w:rsid w:val="5EDA7F3B"/>
    <w:rsid w:val="611063C8"/>
    <w:rsid w:val="61391A8A"/>
    <w:rsid w:val="6D365999"/>
    <w:rsid w:val="74C87E25"/>
    <w:rsid w:val="772C41A1"/>
    <w:rsid w:val="786B476A"/>
    <w:rsid w:val="7B063163"/>
    <w:rsid w:val="7B5A40FE"/>
    <w:rsid w:val="7F2C04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79" w:lineRule="exact"/>
      <w:ind w:firstLine="640" w:firstLineChars="200"/>
      <w:jc w:val="both"/>
    </w:pPr>
    <w:rPr>
      <w:rFonts w:ascii="仿宋" w:hAnsi="仿宋" w:eastAsia="仿宋" w:cs="仿宋"/>
      <w:bCs/>
      <w:sz w:val="32"/>
      <w:szCs w:val="32"/>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rFonts w:ascii="Calibri" w:hAnsi="Calibri"/>
      <w:b/>
      <w:kern w:val="44"/>
      <w:sz w:val="44"/>
      <w:szCs w:val="44"/>
    </w:rPr>
  </w:style>
  <w:style w:type="paragraph" w:styleId="3">
    <w:name w:val="heading 2"/>
    <w:basedOn w:val="1"/>
    <w:next w:val="1"/>
    <w:autoRedefine/>
    <w:qFormat/>
    <w:uiPriority w:val="0"/>
    <w:pPr>
      <w:keepNext/>
      <w:keepLines/>
      <w:numPr>
        <w:ilvl w:val="1"/>
        <w:numId w:val="1"/>
      </w:numPr>
      <w:adjustRightInd w:val="0"/>
      <w:snapToGrid w:val="0"/>
      <w:textAlignment w:val="baseline"/>
      <w:outlineLvl w:val="1"/>
    </w:pPr>
    <w:rPr>
      <w:b/>
      <w:sz w:val="36"/>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autoRedefine/>
    <w:qFormat/>
    <w:uiPriority w:val="0"/>
    <w:pPr>
      <w:ind w:firstLine="420"/>
    </w:pPr>
    <w:rPr>
      <w:szCs w:val="21"/>
    </w:rPr>
  </w:style>
  <w:style w:type="paragraph" w:styleId="5">
    <w:name w:val="Body Text"/>
    <w:basedOn w:val="1"/>
    <w:next w:val="1"/>
    <w:autoRedefine/>
    <w:qFormat/>
    <w:uiPriority w:val="0"/>
    <w:pPr>
      <w:spacing w:after="120"/>
    </w:pPr>
    <w:rPr>
      <w:rFonts w:eastAsia="Cambria"/>
    </w:rPr>
  </w:style>
  <w:style w:type="paragraph" w:styleId="6">
    <w:name w:val="annotation text"/>
    <w:basedOn w:val="1"/>
    <w:autoRedefine/>
    <w:qFormat/>
    <w:uiPriority w:val="0"/>
    <w:pPr>
      <w:jc w:val="left"/>
    </w:pPr>
  </w:style>
  <w:style w:type="paragraph" w:styleId="7">
    <w:name w:val="Body Text Indent"/>
    <w:basedOn w:val="1"/>
    <w:autoRedefine/>
    <w:qFormat/>
    <w:uiPriority w:val="99"/>
    <w:pPr>
      <w:ind w:left="567" w:leftChars="270"/>
    </w:pPr>
  </w:style>
  <w:style w:type="paragraph" w:styleId="8">
    <w:name w:val="index 4"/>
    <w:basedOn w:val="1"/>
    <w:next w:val="1"/>
    <w:autoRedefine/>
    <w:qFormat/>
    <w:uiPriority w:val="99"/>
    <w:pPr>
      <w:ind w:left="600" w:leftChars="600"/>
    </w:pPr>
  </w:style>
  <w:style w:type="paragraph" w:styleId="9">
    <w:name w:val="Body Text Indent 2"/>
    <w:basedOn w:val="1"/>
    <w:autoRedefine/>
    <w:qFormat/>
    <w:uiPriority w:val="99"/>
    <w:pPr>
      <w:spacing w:after="120" w:line="480" w:lineRule="auto"/>
      <w:ind w:left="420" w:leftChars="200"/>
    </w:pPr>
  </w:style>
  <w:style w:type="paragraph" w:styleId="10">
    <w:name w:val="footer"/>
    <w:basedOn w:val="1"/>
    <w:autoRedefine/>
    <w:qFormat/>
    <w:uiPriority w:val="99"/>
    <w:pPr>
      <w:tabs>
        <w:tab w:val="center" w:pos="4153"/>
        <w:tab w:val="right" w:pos="8306"/>
      </w:tabs>
      <w:snapToGrid w:val="0"/>
      <w:jc w:val="left"/>
    </w:pPr>
    <w:rPr>
      <w:sz w:val="18"/>
      <w:szCs w:val="18"/>
    </w:rPr>
  </w:style>
  <w:style w:type="paragraph" w:styleId="11">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2">
    <w:name w:val="Title"/>
    <w:basedOn w:val="1"/>
    <w:next w:val="1"/>
    <w:autoRedefine/>
    <w:qFormat/>
    <w:uiPriority w:val="0"/>
    <w:pPr>
      <w:spacing w:before="240" w:after="60" w:line="276" w:lineRule="auto"/>
      <w:jc w:val="center"/>
      <w:outlineLvl w:val="0"/>
    </w:pPr>
    <w:rPr>
      <w:rFonts w:ascii="Cambria" w:hAnsi="Cambria"/>
      <w:b/>
    </w:rPr>
  </w:style>
  <w:style w:type="paragraph" w:styleId="13">
    <w:name w:val="Body Text First Indent 2"/>
    <w:basedOn w:val="7"/>
    <w:autoRedefine/>
    <w:qFormat/>
    <w:uiPriority w:val="99"/>
    <w:pPr>
      <w:ind w:firstLine="420"/>
    </w:pPr>
  </w:style>
  <w:style w:type="character" w:styleId="16">
    <w:name w:val="Emphasis"/>
    <w:basedOn w:val="15"/>
    <w:autoRedefine/>
    <w:qFormat/>
    <w:uiPriority w:val="0"/>
    <w:rPr>
      <w:i/>
    </w:rPr>
  </w:style>
  <w:style w:type="paragraph" w:customStyle="1" w:styleId="17">
    <w:name w:val="_Style 3"/>
    <w:basedOn w:val="1"/>
    <w:autoRedefine/>
    <w:qFormat/>
    <w:uiPriority w:val="0"/>
    <w:pPr>
      <w:ind w:firstLine="420"/>
    </w:pPr>
  </w:style>
  <w:style w:type="paragraph" w:styleId="18">
    <w:name w:val="List Paragraph"/>
    <w:basedOn w:val="1"/>
    <w:autoRedefine/>
    <w:qFormat/>
    <w:uiPriority w:val="0"/>
    <w:pPr>
      <w:ind w:firstLine="420"/>
    </w:pPr>
    <w:rPr>
      <w:rFonts w:ascii="Calibri" w:hAnsi="Calibri"/>
    </w:rPr>
  </w:style>
  <w:style w:type="paragraph" w:customStyle="1" w:styleId="19">
    <w:name w:val="列出段落1"/>
    <w:basedOn w:val="1"/>
    <w:autoRedefine/>
    <w:qFormat/>
    <w:uiPriority w:val="34"/>
    <w:pPr>
      <w:ind w:firstLine="420"/>
    </w:pPr>
    <w:rPr>
      <w:rFonts w:ascii="Calibri" w:hAnsi="Calibri" w:cs="黑体"/>
    </w:rPr>
  </w:style>
  <w:style w:type="paragraph" w:customStyle="1" w:styleId="20">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21">
    <w:name w:val="图"/>
    <w:basedOn w:val="1"/>
    <w:autoRedefine/>
    <w:qFormat/>
    <w:uiPriority w:val="0"/>
    <w:pPr>
      <w:keepNext/>
      <w:adjustRightInd w:val="0"/>
      <w:spacing w:before="60" w:after="60" w:line="300" w:lineRule="auto"/>
      <w:jc w:val="center"/>
      <w:textAlignment w:val="center"/>
    </w:pPr>
    <w:rPr>
      <w:snapToGrid w:val="0"/>
      <w:spacing w:val="20"/>
      <w:sz w:val="24"/>
    </w:rPr>
  </w:style>
  <w:style w:type="paragraph" w:customStyle="1" w:styleId="22">
    <w:name w:val="样式 小四 段前: 5 磅 段后: 5 磅 首行缩进:  2 字符"/>
    <w:basedOn w:val="1"/>
    <w:autoRedefine/>
    <w:qFormat/>
    <w:uiPriority w:val="0"/>
    <w:pPr>
      <w:spacing w:line="360" w:lineRule="auto"/>
    </w:pPr>
    <w:rPr>
      <w:rFonts w:ascii="宋体" w:hAnsi="宋体" w:cs="Arial Unicode MS"/>
      <w:color w:val="000000"/>
      <w:szCs w:val="21"/>
    </w:rPr>
  </w:style>
  <w:style w:type="paragraph" w:customStyle="1" w:styleId="23">
    <w:name w:val="_Style 23"/>
    <w:basedOn w:val="1"/>
    <w:next w:val="18"/>
    <w:autoRedefine/>
    <w:qFormat/>
    <w:uiPriority w:val="34"/>
    <w:pPr>
      <w:spacing w:before="100" w:beforeAutospacing="1"/>
      <w:ind w:firstLine="420"/>
    </w:pPr>
  </w:style>
  <w:style w:type="character" w:customStyle="1" w:styleId="24">
    <w:name w:val="页眉 Char"/>
    <w:basedOn w:val="15"/>
    <w:link w:val="11"/>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1239</Words>
  <Characters>1270</Characters>
  <Lines>8</Lines>
  <Paragraphs>2</Paragraphs>
  <TotalTime>68</TotalTime>
  <ScaleCrop>false</ScaleCrop>
  <LinksUpToDate>false</LinksUpToDate>
  <CharactersWithSpaces>1278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2025-02-10T02:00:00Z</dcterms:created>
  <dc:creator>包包</dc:creator>
  <cp:lastModifiedBy>谢</cp:lastModifiedBy>
  <cp:lastPrinted>2024-11-12T04:34:00Z</cp:lastPrinted>
  <dcterms:modified xsi:type="dcterms:W3CDTF">2025-05-30T06:36:57Z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CDFD95489FAF4F5C8E87D49F20AF557D_13</vt:lpwstr>
  </property>
  <property fmtid="{D5CDD505-2E9C-101B-9397-08002B2CF9AE}" pid="4" name="KSOTemplateDocerSaveRecord">
    <vt:lpwstr>eyJoZGlkIjoiYWQxNmQ2NThkMzkyYjFiMDNiOTQ0MDkyNDc2N2Q2NjgiLCJ1c2VySWQiOiI0NjEyNTMzMjQifQ==</vt:lpwstr>
  </property>
</Properties>
</file>