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4AF0">
      <w:pPr>
        <w:jc w:val="center"/>
        <w:rPr>
          <w:rFonts w:ascii="宋体" w:hAnsi="宋体" w:cs="宋体"/>
          <w:b/>
          <w:bCs/>
          <w:color w:val="auto"/>
          <w:sz w:val="52"/>
          <w:szCs w:val="52"/>
        </w:rPr>
      </w:pPr>
      <w:bookmarkStart w:id="0" w:name="_Toc7957"/>
    </w:p>
    <w:p w14:paraId="0224E029">
      <w:pPr>
        <w:jc w:val="center"/>
        <w:rPr>
          <w:rFonts w:ascii="宋体" w:hAnsi="宋体" w:cs="宋体"/>
          <w:b/>
          <w:bCs/>
          <w:color w:val="auto"/>
          <w:sz w:val="52"/>
          <w:szCs w:val="52"/>
        </w:rPr>
      </w:pPr>
      <w:r>
        <w:rPr>
          <w:rFonts w:hint="eastAsia" w:ascii="宋体" w:hAnsi="宋体" w:cs="宋体"/>
          <w:b/>
          <w:bCs/>
          <w:color w:val="auto"/>
          <w:sz w:val="52"/>
          <w:szCs w:val="52"/>
        </w:rPr>
        <w:t>广东省中医院珠海医院</w:t>
      </w:r>
    </w:p>
    <w:p w14:paraId="37BDDA60">
      <w:pPr>
        <w:jc w:val="center"/>
        <w:rPr>
          <w:rFonts w:ascii="宋体" w:hAnsi="宋体" w:cs="宋体"/>
          <w:b/>
          <w:bCs/>
          <w:color w:val="auto"/>
          <w:sz w:val="52"/>
          <w:szCs w:val="52"/>
        </w:rPr>
      </w:pPr>
      <w:r>
        <w:rPr>
          <w:rFonts w:hint="eastAsia" w:ascii="宋体" w:hAnsi="宋体" w:cs="宋体"/>
          <w:b/>
          <w:bCs/>
          <w:color w:val="auto"/>
          <w:sz w:val="52"/>
          <w:szCs w:val="52"/>
        </w:rPr>
        <w:t>HRP系统项目</w:t>
      </w:r>
    </w:p>
    <w:p w14:paraId="6C30797B">
      <w:pPr>
        <w:jc w:val="center"/>
        <w:rPr>
          <w:rFonts w:ascii="宋体" w:hAnsi="宋体" w:cs="宋体"/>
          <w:b/>
          <w:bCs/>
          <w:color w:val="auto"/>
          <w:sz w:val="52"/>
          <w:szCs w:val="52"/>
        </w:rPr>
      </w:pPr>
    </w:p>
    <w:p w14:paraId="0FC9748C">
      <w:pPr>
        <w:jc w:val="center"/>
        <w:rPr>
          <w:rFonts w:ascii="宋体" w:hAnsi="宋体" w:cs="宋体"/>
          <w:b/>
          <w:bCs/>
          <w:color w:val="auto"/>
          <w:sz w:val="52"/>
          <w:szCs w:val="52"/>
        </w:rPr>
      </w:pPr>
    </w:p>
    <w:p w14:paraId="799E1728">
      <w:pPr>
        <w:jc w:val="center"/>
        <w:rPr>
          <w:rFonts w:ascii="宋体" w:hAnsi="宋体" w:cs="宋体"/>
          <w:b/>
          <w:bCs/>
          <w:color w:val="auto"/>
          <w:sz w:val="84"/>
          <w:szCs w:val="84"/>
        </w:rPr>
      </w:pPr>
      <w:r>
        <w:rPr>
          <w:rFonts w:hint="eastAsia" w:ascii="宋体" w:hAnsi="宋体" w:cs="宋体"/>
          <w:b/>
          <w:bCs/>
          <w:color w:val="auto"/>
          <w:sz w:val="84"/>
          <w:szCs w:val="84"/>
        </w:rPr>
        <w:t>采购需求书</w:t>
      </w:r>
    </w:p>
    <w:p w14:paraId="4EEA02DB">
      <w:pPr>
        <w:jc w:val="center"/>
        <w:rPr>
          <w:rFonts w:ascii="宋体" w:hAnsi="宋体" w:cs="宋体"/>
          <w:b/>
          <w:bCs/>
          <w:color w:val="auto"/>
          <w:sz w:val="84"/>
          <w:szCs w:val="84"/>
        </w:rPr>
      </w:pPr>
    </w:p>
    <w:p w14:paraId="4E22E7DC">
      <w:pPr>
        <w:jc w:val="center"/>
        <w:rPr>
          <w:rFonts w:ascii="宋体" w:hAnsi="宋体" w:cs="宋体"/>
          <w:b/>
          <w:bCs/>
          <w:color w:val="auto"/>
          <w:sz w:val="84"/>
          <w:szCs w:val="84"/>
        </w:rPr>
      </w:pPr>
    </w:p>
    <w:p w14:paraId="00622929">
      <w:pPr>
        <w:jc w:val="center"/>
        <w:rPr>
          <w:rFonts w:ascii="宋体" w:hAnsi="宋体" w:cs="宋体"/>
          <w:b/>
          <w:bCs/>
          <w:color w:val="auto"/>
          <w:sz w:val="84"/>
          <w:szCs w:val="84"/>
        </w:rPr>
      </w:pPr>
    </w:p>
    <w:p w14:paraId="77B8A290">
      <w:pPr>
        <w:jc w:val="center"/>
        <w:rPr>
          <w:rFonts w:ascii="宋体" w:hAnsi="宋体" w:cs="宋体"/>
          <w:b/>
          <w:bCs/>
          <w:color w:val="auto"/>
          <w:sz w:val="84"/>
          <w:szCs w:val="84"/>
        </w:rPr>
      </w:pPr>
    </w:p>
    <w:p w14:paraId="230C1279">
      <w:pPr>
        <w:jc w:val="center"/>
        <w:rPr>
          <w:rFonts w:ascii="宋体" w:hAnsi="宋体" w:cs="宋体"/>
          <w:b/>
          <w:bCs/>
          <w:color w:val="auto"/>
          <w:sz w:val="84"/>
          <w:szCs w:val="84"/>
        </w:rPr>
      </w:pPr>
    </w:p>
    <w:p w14:paraId="5ED9B274">
      <w:pPr>
        <w:jc w:val="center"/>
        <w:rPr>
          <w:rFonts w:ascii="宋体" w:hAnsi="宋体" w:cs="宋体"/>
          <w:b/>
          <w:bCs/>
          <w:color w:val="auto"/>
          <w:sz w:val="28"/>
          <w:szCs w:val="28"/>
        </w:rPr>
      </w:pPr>
      <w:r>
        <w:rPr>
          <w:rFonts w:hint="eastAsia" w:ascii="宋体" w:hAnsi="宋体" w:cs="宋体"/>
          <w:b/>
          <w:bCs/>
          <w:color w:val="auto"/>
          <w:sz w:val="28"/>
          <w:szCs w:val="28"/>
        </w:rPr>
        <w:t>2025年0</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月</w:t>
      </w:r>
    </w:p>
    <w:p w14:paraId="1074DE36">
      <w:pPr>
        <w:rPr>
          <w:rFonts w:ascii="宋体" w:hAnsi="宋体" w:cs="宋体"/>
          <w:b/>
          <w:bCs/>
          <w:color w:val="auto"/>
          <w:sz w:val="32"/>
          <w:szCs w:val="32"/>
        </w:rPr>
      </w:pPr>
      <w:r>
        <w:rPr>
          <w:rFonts w:hint="eastAsia" w:ascii="宋体" w:hAnsi="宋体" w:cs="宋体"/>
          <w:b/>
          <w:bCs/>
          <w:color w:val="auto"/>
          <w:sz w:val="32"/>
          <w:szCs w:val="32"/>
        </w:rPr>
        <w:br w:type="page"/>
      </w:r>
    </w:p>
    <w:p w14:paraId="38585737">
      <w:pPr>
        <w:pStyle w:val="15"/>
        <w:rPr>
          <w:color w:val="auto"/>
        </w:rPr>
      </w:pPr>
    </w:p>
    <w:sdt>
      <w:sdtPr>
        <w:rPr>
          <w:rFonts w:ascii="宋体" w:hAnsi="宋体" w:cs="Times New Roman"/>
          <w:color w:val="auto"/>
          <w:sz w:val="32"/>
          <w:szCs w:val="32"/>
        </w:rPr>
        <w:id w:val="147469967"/>
        <w15:color w:val="DBDBDB"/>
        <w:docPartObj>
          <w:docPartGallery w:val="Table of Contents"/>
          <w:docPartUnique/>
        </w:docPartObj>
      </w:sdtPr>
      <w:sdtEndPr>
        <w:rPr>
          <w:rFonts w:hint="eastAsia" w:ascii="Times New Roman" w:hAnsi="Times New Roman" w:cs="Times New Roman"/>
          <w:b/>
          <w:bCs/>
          <w:color w:val="auto"/>
          <w:sz w:val="21"/>
          <w:szCs w:val="24"/>
        </w:rPr>
      </w:sdtEndPr>
      <w:sdtContent>
        <w:p w14:paraId="0DB103E3">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14:paraId="69602856">
          <w:pPr>
            <w:pStyle w:val="23"/>
            <w:tabs>
              <w:tab w:val="right" w:leader="dot" w:pos="8312"/>
            </w:tabs>
            <w:rPr>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r>
            <w:rPr>
              <w:rFonts w:hint="eastAsia"/>
              <w:color w:val="auto"/>
            </w:rPr>
            <w:fldChar w:fldCharType="begin"/>
          </w:r>
          <w:r>
            <w:rPr>
              <w:rFonts w:hint="eastAsia"/>
              <w:color w:val="auto"/>
            </w:rPr>
            <w:instrText xml:space="preserve"> HYPERLINK \l _Toc5907 </w:instrText>
          </w:r>
          <w:r>
            <w:rPr>
              <w:rFonts w:hint="eastAsia"/>
              <w:color w:val="auto"/>
            </w:rPr>
            <w:fldChar w:fldCharType="separate"/>
          </w:r>
          <w:r>
            <w:rPr>
              <w:rFonts w:hint="eastAsia" w:ascii="宋体" w:hAnsi="宋体" w:cs="宋体"/>
              <w:color w:val="auto"/>
              <w:szCs w:val="32"/>
            </w:rPr>
            <w:t>广东省中医院珠海医院HRP系统采购需求</w:t>
          </w:r>
          <w:r>
            <w:rPr>
              <w:color w:val="auto"/>
            </w:rPr>
            <w:tab/>
          </w:r>
          <w:r>
            <w:rPr>
              <w:color w:val="auto"/>
            </w:rPr>
            <w:fldChar w:fldCharType="begin"/>
          </w:r>
          <w:r>
            <w:rPr>
              <w:color w:val="auto"/>
            </w:rPr>
            <w:instrText xml:space="preserve"> PAGEREF _Toc5907 </w:instrText>
          </w:r>
          <w:r>
            <w:rPr>
              <w:color w:val="auto"/>
            </w:rPr>
            <w:fldChar w:fldCharType="separate"/>
          </w:r>
          <w:r>
            <w:rPr>
              <w:color w:val="auto"/>
            </w:rPr>
            <w:t>3</w:t>
          </w:r>
          <w:r>
            <w:rPr>
              <w:color w:val="auto"/>
            </w:rPr>
            <w:fldChar w:fldCharType="end"/>
          </w:r>
          <w:r>
            <w:rPr>
              <w:rFonts w:hint="eastAsia"/>
              <w:color w:val="auto"/>
            </w:rPr>
            <w:fldChar w:fldCharType="end"/>
          </w:r>
        </w:p>
        <w:p w14:paraId="2A3AACCF">
          <w:pPr>
            <w:pStyle w:val="23"/>
            <w:tabs>
              <w:tab w:val="right" w:leader="dot" w:pos="8312"/>
            </w:tabs>
            <w:rPr>
              <w:color w:val="auto"/>
            </w:rPr>
          </w:pPr>
          <w:r>
            <w:rPr>
              <w:rFonts w:hint="eastAsia"/>
              <w:color w:val="auto"/>
            </w:rPr>
            <w:fldChar w:fldCharType="begin"/>
          </w:r>
          <w:r>
            <w:rPr>
              <w:rFonts w:hint="eastAsia"/>
              <w:color w:val="auto"/>
            </w:rPr>
            <w:instrText xml:space="preserve"> HYPERLINK \l _Toc10511 </w:instrText>
          </w:r>
          <w:r>
            <w:rPr>
              <w:rFonts w:hint="eastAsia"/>
              <w:color w:val="auto"/>
            </w:rPr>
            <w:fldChar w:fldCharType="separate"/>
          </w:r>
          <w:r>
            <w:rPr>
              <w:rFonts w:hint="eastAsia" w:ascii="宋体" w:hAnsi="宋体" w:cs="宋体"/>
              <w:color w:val="auto"/>
              <w:szCs w:val="32"/>
            </w:rPr>
            <w:t>一、 采购背景</w:t>
          </w:r>
          <w:r>
            <w:rPr>
              <w:color w:val="auto"/>
            </w:rPr>
            <w:tab/>
          </w:r>
          <w:r>
            <w:rPr>
              <w:color w:val="auto"/>
            </w:rPr>
            <w:fldChar w:fldCharType="begin"/>
          </w:r>
          <w:r>
            <w:rPr>
              <w:color w:val="auto"/>
            </w:rPr>
            <w:instrText xml:space="preserve"> PAGEREF _Toc10511 </w:instrText>
          </w:r>
          <w:r>
            <w:rPr>
              <w:color w:val="auto"/>
            </w:rPr>
            <w:fldChar w:fldCharType="separate"/>
          </w:r>
          <w:r>
            <w:rPr>
              <w:color w:val="auto"/>
            </w:rPr>
            <w:t>3</w:t>
          </w:r>
          <w:r>
            <w:rPr>
              <w:color w:val="auto"/>
            </w:rPr>
            <w:fldChar w:fldCharType="end"/>
          </w:r>
          <w:r>
            <w:rPr>
              <w:rFonts w:hint="eastAsia"/>
              <w:color w:val="auto"/>
            </w:rPr>
            <w:fldChar w:fldCharType="end"/>
          </w:r>
        </w:p>
        <w:p w14:paraId="2402B962">
          <w:pPr>
            <w:pStyle w:val="23"/>
            <w:tabs>
              <w:tab w:val="right" w:leader="dot" w:pos="8312"/>
            </w:tabs>
            <w:rPr>
              <w:color w:val="auto"/>
            </w:rPr>
          </w:pPr>
          <w:r>
            <w:rPr>
              <w:rFonts w:hint="eastAsia"/>
              <w:color w:val="auto"/>
            </w:rPr>
            <w:fldChar w:fldCharType="begin"/>
          </w:r>
          <w:r>
            <w:rPr>
              <w:rFonts w:hint="eastAsia"/>
              <w:color w:val="auto"/>
            </w:rPr>
            <w:instrText xml:space="preserve"> HYPERLINK \l _Toc31554 </w:instrText>
          </w:r>
          <w:r>
            <w:rPr>
              <w:rFonts w:hint="eastAsia"/>
              <w:color w:val="auto"/>
            </w:rPr>
            <w:fldChar w:fldCharType="separate"/>
          </w:r>
          <w:r>
            <w:rPr>
              <w:rFonts w:hint="eastAsia" w:ascii="宋体" w:hAnsi="宋体" w:cs="宋体"/>
              <w:color w:val="auto"/>
              <w:szCs w:val="32"/>
            </w:rPr>
            <w:t>二、 建设目标</w:t>
          </w:r>
          <w:r>
            <w:rPr>
              <w:color w:val="auto"/>
            </w:rPr>
            <w:tab/>
          </w:r>
          <w:r>
            <w:rPr>
              <w:color w:val="auto"/>
            </w:rPr>
            <w:fldChar w:fldCharType="begin"/>
          </w:r>
          <w:r>
            <w:rPr>
              <w:color w:val="auto"/>
            </w:rPr>
            <w:instrText xml:space="preserve"> PAGEREF _Toc31554 </w:instrText>
          </w:r>
          <w:r>
            <w:rPr>
              <w:color w:val="auto"/>
            </w:rPr>
            <w:fldChar w:fldCharType="separate"/>
          </w:r>
          <w:r>
            <w:rPr>
              <w:color w:val="auto"/>
            </w:rPr>
            <w:t>3</w:t>
          </w:r>
          <w:r>
            <w:rPr>
              <w:color w:val="auto"/>
            </w:rPr>
            <w:fldChar w:fldCharType="end"/>
          </w:r>
          <w:r>
            <w:rPr>
              <w:rFonts w:hint="eastAsia"/>
              <w:color w:val="auto"/>
            </w:rPr>
            <w:fldChar w:fldCharType="end"/>
          </w:r>
        </w:p>
        <w:p w14:paraId="02DD2BDE">
          <w:pPr>
            <w:pStyle w:val="23"/>
            <w:tabs>
              <w:tab w:val="right" w:leader="dot" w:pos="8312"/>
            </w:tabs>
            <w:rPr>
              <w:color w:val="auto"/>
            </w:rPr>
          </w:pPr>
          <w:r>
            <w:rPr>
              <w:rFonts w:hint="eastAsia"/>
              <w:color w:val="auto"/>
            </w:rPr>
            <w:fldChar w:fldCharType="begin"/>
          </w:r>
          <w:r>
            <w:rPr>
              <w:rFonts w:hint="eastAsia"/>
              <w:color w:val="auto"/>
            </w:rPr>
            <w:instrText xml:space="preserve"> HYPERLINK \l _Toc19813 </w:instrText>
          </w:r>
          <w:r>
            <w:rPr>
              <w:rFonts w:hint="eastAsia"/>
              <w:color w:val="auto"/>
            </w:rPr>
            <w:fldChar w:fldCharType="separate"/>
          </w:r>
          <w:r>
            <w:rPr>
              <w:rFonts w:hint="eastAsia" w:ascii="宋体" w:hAnsi="宋体" w:cs="宋体"/>
              <w:color w:val="auto"/>
              <w:szCs w:val="32"/>
            </w:rPr>
            <w:t>三、 建设内容</w:t>
          </w:r>
          <w:r>
            <w:rPr>
              <w:color w:val="auto"/>
            </w:rPr>
            <w:tab/>
          </w:r>
          <w:r>
            <w:rPr>
              <w:color w:val="auto"/>
            </w:rPr>
            <w:fldChar w:fldCharType="begin"/>
          </w:r>
          <w:r>
            <w:rPr>
              <w:color w:val="auto"/>
            </w:rPr>
            <w:instrText xml:space="preserve"> PAGEREF _Toc19813 </w:instrText>
          </w:r>
          <w:r>
            <w:rPr>
              <w:color w:val="auto"/>
            </w:rPr>
            <w:fldChar w:fldCharType="separate"/>
          </w:r>
          <w:r>
            <w:rPr>
              <w:color w:val="auto"/>
            </w:rPr>
            <w:t>4</w:t>
          </w:r>
          <w:r>
            <w:rPr>
              <w:color w:val="auto"/>
            </w:rPr>
            <w:fldChar w:fldCharType="end"/>
          </w:r>
          <w:r>
            <w:rPr>
              <w:rFonts w:hint="eastAsia"/>
              <w:color w:val="auto"/>
            </w:rPr>
            <w:fldChar w:fldCharType="end"/>
          </w:r>
        </w:p>
        <w:p w14:paraId="7B2D5D95">
          <w:pPr>
            <w:pStyle w:val="23"/>
            <w:tabs>
              <w:tab w:val="right" w:leader="dot" w:pos="8312"/>
            </w:tabs>
            <w:rPr>
              <w:color w:val="auto"/>
            </w:rPr>
          </w:pPr>
          <w:r>
            <w:rPr>
              <w:rFonts w:hint="eastAsia"/>
              <w:color w:val="auto"/>
            </w:rPr>
            <w:fldChar w:fldCharType="begin"/>
          </w:r>
          <w:r>
            <w:rPr>
              <w:rFonts w:hint="eastAsia"/>
              <w:color w:val="auto"/>
            </w:rPr>
            <w:instrText xml:space="preserve"> HYPERLINK \l _Toc6454 </w:instrText>
          </w:r>
          <w:r>
            <w:rPr>
              <w:rFonts w:hint="eastAsia"/>
              <w:color w:val="auto"/>
            </w:rPr>
            <w:fldChar w:fldCharType="separate"/>
          </w:r>
          <w:r>
            <w:rPr>
              <w:rFonts w:hint="eastAsia" w:ascii="宋体" w:hAnsi="宋体" w:cs="宋体"/>
              <w:color w:val="auto"/>
              <w:szCs w:val="32"/>
            </w:rPr>
            <w:t>四、 项目建设功能需求</w:t>
          </w:r>
          <w:r>
            <w:rPr>
              <w:color w:val="auto"/>
            </w:rPr>
            <w:tab/>
          </w:r>
          <w:r>
            <w:rPr>
              <w:color w:val="auto"/>
            </w:rPr>
            <w:fldChar w:fldCharType="begin"/>
          </w:r>
          <w:r>
            <w:rPr>
              <w:color w:val="auto"/>
            </w:rPr>
            <w:instrText xml:space="preserve"> PAGEREF _Toc6454 </w:instrText>
          </w:r>
          <w:r>
            <w:rPr>
              <w:color w:val="auto"/>
            </w:rPr>
            <w:fldChar w:fldCharType="separate"/>
          </w:r>
          <w:r>
            <w:rPr>
              <w:color w:val="auto"/>
            </w:rPr>
            <w:t>4</w:t>
          </w:r>
          <w:r>
            <w:rPr>
              <w:color w:val="auto"/>
            </w:rPr>
            <w:fldChar w:fldCharType="end"/>
          </w:r>
          <w:r>
            <w:rPr>
              <w:rFonts w:hint="eastAsia"/>
              <w:color w:val="auto"/>
            </w:rPr>
            <w:fldChar w:fldCharType="end"/>
          </w:r>
        </w:p>
        <w:p w14:paraId="6EEE5B73">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_Toc22980 </w:instrText>
          </w:r>
          <w:r>
            <w:rPr>
              <w:rFonts w:hint="eastAsia"/>
              <w:color w:val="auto"/>
            </w:rPr>
            <w:fldChar w:fldCharType="separate"/>
          </w:r>
          <w:r>
            <w:rPr>
              <w:rFonts w:hint="eastAsia" w:ascii="宋体" w:hAnsi="宋体" w:cs="宋体"/>
              <w:color w:val="auto"/>
              <w:szCs w:val="21"/>
              <w:lang w:val="en-US" w:eastAsia="zh-CN"/>
            </w:rPr>
            <w:t xml:space="preserve">4.1 </w:t>
          </w:r>
          <w:r>
            <w:rPr>
              <w:rFonts w:hint="eastAsia" w:ascii="宋体" w:hAnsi="宋体" w:cs="宋体"/>
              <w:color w:val="auto"/>
              <w:szCs w:val="21"/>
            </w:rPr>
            <w:t>业务基础平台</w:t>
          </w:r>
          <w:r>
            <w:rPr>
              <w:color w:val="auto"/>
            </w:rPr>
            <w:tab/>
          </w:r>
          <w:r>
            <w:rPr>
              <w:color w:val="auto"/>
            </w:rPr>
            <w:fldChar w:fldCharType="begin"/>
          </w:r>
          <w:r>
            <w:rPr>
              <w:color w:val="auto"/>
            </w:rPr>
            <w:instrText xml:space="preserve"> PAGEREF _Toc22980 </w:instrText>
          </w:r>
          <w:r>
            <w:rPr>
              <w:color w:val="auto"/>
            </w:rPr>
            <w:fldChar w:fldCharType="separate"/>
          </w:r>
          <w:r>
            <w:rPr>
              <w:color w:val="auto"/>
            </w:rPr>
            <w:t>4</w:t>
          </w:r>
          <w:r>
            <w:rPr>
              <w:color w:val="auto"/>
            </w:rPr>
            <w:fldChar w:fldCharType="end"/>
          </w:r>
          <w:r>
            <w:rPr>
              <w:rFonts w:hint="eastAsia"/>
              <w:color w:val="auto"/>
            </w:rPr>
            <w:fldChar w:fldCharType="end"/>
          </w:r>
        </w:p>
        <w:p w14:paraId="384DF39A">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_Toc11274 </w:instrText>
          </w:r>
          <w:r>
            <w:rPr>
              <w:rFonts w:hint="eastAsia"/>
              <w:color w:val="auto"/>
            </w:rPr>
            <w:fldChar w:fldCharType="separate"/>
          </w:r>
          <w:r>
            <w:rPr>
              <w:rFonts w:hint="eastAsia" w:ascii="宋体" w:hAnsi="宋体" w:cs="宋体"/>
              <w:color w:val="auto"/>
              <w:szCs w:val="21"/>
              <w:lang w:val="en-US" w:eastAsia="zh-CN"/>
            </w:rPr>
            <w:t xml:space="preserve">4.2 </w:t>
          </w:r>
          <w:r>
            <w:rPr>
              <w:rFonts w:hint="eastAsia" w:ascii="宋体" w:hAnsi="宋体" w:cs="宋体"/>
              <w:color w:val="auto"/>
              <w:szCs w:val="21"/>
            </w:rPr>
            <w:t>医院财务会计管理系统</w:t>
          </w:r>
          <w:r>
            <w:rPr>
              <w:color w:val="auto"/>
            </w:rPr>
            <w:tab/>
          </w:r>
          <w:r>
            <w:rPr>
              <w:color w:val="auto"/>
            </w:rPr>
            <w:fldChar w:fldCharType="begin"/>
          </w:r>
          <w:r>
            <w:rPr>
              <w:color w:val="auto"/>
            </w:rPr>
            <w:instrText xml:space="preserve"> PAGEREF _Toc11274 </w:instrText>
          </w:r>
          <w:r>
            <w:rPr>
              <w:color w:val="auto"/>
            </w:rPr>
            <w:fldChar w:fldCharType="separate"/>
          </w:r>
          <w:r>
            <w:rPr>
              <w:color w:val="auto"/>
            </w:rPr>
            <w:t>5</w:t>
          </w:r>
          <w:r>
            <w:rPr>
              <w:color w:val="auto"/>
            </w:rPr>
            <w:fldChar w:fldCharType="end"/>
          </w:r>
          <w:r>
            <w:rPr>
              <w:rFonts w:hint="eastAsia"/>
              <w:color w:val="auto"/>
            </w:rPr>
            <w:fldChar w:fldCharType="end"/>
          </w:r>
        </w:p>
        <w:p w14:paraId="13801393">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_Toc14738 </w:instrText>
          </w:r>
          <w:r>
            <w:rPr>
              <w:rFonts w:hint="eastAsia"/>
              <w:color w:val="auto"/>
            </w:rPr>
            <w:fldChar w:fldCharType="separate"/>
          </w:r>
          <w:r>
            <w:rPr>
              <w:rFonts w:hint="eastAsia" w:ascii="宋体" w:hAnsi="宋体" w:cs="宋体"/>
              <w:color w:val="auto"/>
              <w:szCs w:val="21"/>
              <w:lang w:val="en-US" w:eastAsia="zh-CN"/>
            </w:rPr>
            <w:t xml:space="preserve">4.3 </w:t>
          </w:r>
          <w:r>
            <w:rPr>
              <w:rFonts w:hint="eastAsia" w:ascii="宋体" w:hAnsi="宋体" w:cs="宋体"/>
              <w:color w:val="auto"/>
              <w:szCs w:val="21"/>
            </w:rPr>
            <w:t>医院全面预算管理系统</w:t>
          </w:r>
          <w:r>
            <w:rPr>
              <w:color w:val="auto"/>
            </w:rPr>
            <w:tab/>
          </w:r>
          <w:r>
            <w:rPr>
              <w:color w:val="auto"/>
            </w:rPr>
            <w:fldChar w:fldCharType="begin"/>
          </w:r>
          <w:r>
            <w:rPr>
              <w:color w:val="auto"/>
            </w:rPr>
            <w:instrText xml:space="preserve"> PAGEREF _Toc14738 </w:instrText>
          </w:r>
          <w:r>
            <w:rPr>
              <w:color w:val="auto"/>
            </w:rPr>
            <w:fldChar w:fldCharType="separate"/>
          </w:r>
          <w:r>
            <w:rPr>
              <w:color w:val="auto"/>
            </w:rPr>
            <w:t>7</w:t>
          </w:r>
          <w:r>
            <w:rPr>
              <w:color w:val="auto"/>
            </w:rPr>
            <w:fldChar w:fldCharType="end"/>
          </w:r>
          <w:r>
            <w:rPr>
              <w:rFonts w:hint="eastAsia"/>
              <w:color w:val="auto"/>
            </w:rPr>
            <w:fldChar w:fldCharType="end"/>
          </w:r>
        </w:p>
        <w:p w14:paraId="45068183">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_Toc863 </w:instrText>
          </w:r>
          <w:r>
            <w:rPr>
              <w:rFonts w:hint="eastAsia"/>
              <w:color w:val="auto"/>
            </w:rPr>
            <w:fldChar w:fldCharType="separate"/>
          </w:r>
          <w:r>
            <w:rPr>
              <w:rFonts w:hint="eastAsia" w:ascii="宋体" w:hAnsi="宋体" w:cs="宋体"/>
              <w:color w:val="auto"/>
              <w:szCs w:val="28"/>
              <w:lang w:val="en-US" w:eastAsia="zh-CN"/>
            </w:rPr>
            <w:t xml:space="preserve">4.4 </w:t>
          </w:r>
          <w:r>
            <w:rPr>
              <w:rFonts w:hint="eastAsia" w:ascii="宋体" w:hAnsi="宋体" w:cs="宋体"/>
              <w:color w:val="auto"/>
              <w:szCs w:val="28"/>
            </w:rPr>
            <w:t>科室成本管理系统</w:t>
          </w:r>
          <w:r>
            <w:rPr>
              <w:color w:val="auto"/>
            </w:rPr>
            <w:tab/>
          </w:r>
          <w:r>
            <w:rPr>
              <w:color w:val="auto"/>
            </w:rPr>
            <w:fldChar w:fldCharType="begin"/>
          </w:r>
          <w:r>
            <w:rPr>
              <w:color w:val="auto"/>
            </w:rPr>
            <w:instrText xml:space="preserve"> PAGEREF _Toc863 </w:instrText>
          </w:r>
          <w:r>
            <w:rPr>
              <w:color w:val="auto"/>
            </w:rPr>
            <w:fldChar w:fldCharType="separate"/>
          </w:r>
          <w:r>
            <w:rPr>
              <w:color w:val="auto"/>
            </w:rPr>
            <w:t>10</w:t>
          </w:r>
          <w:r>
            <w:rPr>
              <w:color w:val="auto"/>
            </w:rPr>
            <w:fldChar w:fldCharType="end"/>
          </w:r>
          <w:r>
            <w:rPr>
              <w:rFonts w:hint="eastAsia"/>
              <w:color w:val="auto"/>
            </w:rPr>
            <w:fldChar w:fldCharType="end"/>
          </w:r>
        </w:p>
        <w:p w14:paraId="4E02C023">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_Toc4219 </w:instrText>
          </w:r>
          <w:r>
            <w:rPr>
              <w:rFonts w:hint="eastAsia"/>
              <w:color w:val="auto"/>
            </w:rPr>
            <w:fldChar w:fldCharType="separate"/>
          </w:r>
          <w:r>
            <w:rPr>
              <w:rFonts w:hint="eastAsia" w:ascii="宋体" w:hAnsi="宋体" w:cs="宋体"/>
              <w:color w:val="auto"/>
              <w:szCs w:val="28"/>
              <w:lang w:val="en-US" w:eastAsia="zh-CN"/>
            </w:rPr>
            <w:t xml:space="preserve">4.5 </w:t>
          </w:r>
          <w:r>
            <w:rPr>
              <w:rFonts w:hint="eastAsia" w:ascii="宋体" w:hAnsi="宋体" w:cs="宋体"/>
              <w:color w:val="auto"/>
              <w:szCs w:val="28"/>
            </w:rPr>
            <w:t>医疗服务项目成本管理系统</w:t>
          </w:r>
          <w:r>
            <w:rPr>
              <w:color w:val="auto"/>
            </w:rPr>
            <w:tab/>
          </w:r>
          <w:r>
            <w:rPr>
              <w:color w:val="auto"/>
            </w:rPr>
            <w:fldChar w:fldCharType="begin"/>
          </w:r>
          <w:r>
            <w:rPr>
              <w:color w:val="auto"/>
            </w:rPr>
            <w:instrText xml:space="preserve"> PAGEREF _Toc4219 </w:instrText>
          </w:r>
          <w:r>
            <w:rPr>
              <w:color w:val="auto"/>
            </w:rPr>
            <w:fldChar w:fldCharType="separate"/>
          </w:r>
          <w:r>
            <w:rPr>
              <w:color w:val="auto"/>
            </w:rPr>
            <w:t>11</w:t>
          </w:r>
          <w:r>
            <w:rPr>
              <w:color w:val="auto"/>
            </w:rPr>
            <w:fldChar w:fldCharType="end"/>
          </w:r>
          <w:r>
            <w:rPr>
              <w:rFonts w:hint="eastAsia"/>
              <w:color w:val="auto"/>
            </w:rPr>
            <w:fldChar w:fldCharType="end"/>
          </w:r>
        </w:p>
        <w:p w14:paraId="17C74437">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_Toc9359 </w:instrText>
          </w:r>
          <w:r>
            <w:rPr>
              <w:rFonts w:hint="eastAsia"/>
              <w:color w:val="auto"/>
            </w:rPr>
            <w:fldChar w:fldCharType="separate"/>
          </w:r>
          <w:r>
            <w:rPr>
              <w:rFonts w:hint="eastAsia" w:ascii="宋体" w:hAnsi="宋体" w:cs="宋体"/>
              <w:color w:val="auto"/>
              <w:szCs w:val="28"/>
              <w:lang w:val="en-US" w:eastAsia="zh-CN"/>
            </w:rPr>
            <w:t xml:space="preserve">4.6 </w:t>
          </w:r>
          <w:r>
            <w:rPr>
              <w:rFonts w:hint="eastAsia" w:ascii="宋体" w:hAnsi="宋体" w:cs="宋体"/>
              <w:color w:val="auto"/>
              <w:szCs w:val="28"/>
            </w:rPr>
            <w:t>DIP成本（叠加法）管理系统</w:t>
          </w:r>
          <w:r>
            <w:rPr>
              <w:color w:val="auto"/>
            </w:rPr>
            <w:tab/>
          </w:r>
          <w:r>
            <w:rPr>
              <w:color w:val="auto"/>
            </w:rPr>
            <w:fldChar w:fldCharType="begin"/>
          </w:r>
          <w:r>
            <w:rPr>
              <w:color w:val="auto"/>
            </w:rPr>
            <w:instrText xml:space="preserve"> PAGEREF _Toc9359 </w:instrText>
          </w:r>
          <w:r>
            <w:rPr>
              <w:color w:val="auto"/>
            </w:rPr>
            <w:fldChar w:fldCharType="separate"/>
          </w:r>
          <w:r>
            <w:rPr>
              <w:color w:val="auto"/>
            </w:rPr>
            <w:t>12</w:t>
          </w:r>
          <w:r>
            <w:rPr>
              <w:color w:val="auto"/>
            </w:rPr>
            <w:fldChar w:fldCharType="end"/>
          </w:r>
          <w:r>
            <w:rPr>
              <w:rFonts w:hint="eastAsia"/>
              <w:color w:val="auto"/>
            </w:rPr>
            <w:fldChar w:fldCharType="end"/>
          </w:r>
        </w:p>
        <w:p w14:paraId="6B2156F1">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_Toc1350 </w:instrText>
          </w:r>
          <w:r>
            <w:rPr>
              <w:rFonts w:hint="eastAsia"/>
              <w:color w:val="auto"/>
            </w:rPr>
            <w:fldChar w:fldCharType="separate"/>
          </w:r>
          <w:r>
            <w:rPr>
              <w:rFonts w:hint="eastAsia" w:ascii="宋体" w:hAnsi="宋体" w:cs="宋体"/>
              <w:bCs/>
              <w:color w:val="auto"/>
              <w:szCs w:val="28"/>
              <w:lang w:val="en-US" w:eastAsia="zh-CN"/>
            </w:rPr>
            <w:t xml:space="preserve">4.7 </w:t>
          </w:r>
          <w:r>
            <w:rPr>
              <w:rFonts w:hint="eastAsia" w:ascii="宋体" w:hAnsi="宋体" w:cs="宋体"/>
              <w:bCs/>
              <w:color w:val="auto"/>
              <w:szCs w:val="28"/>
            </w:rPr>
            <w:t>医院固定资产管理系统</w:t>
          </w:r>
          <w:r>
            <w:rPr>
              <w:color w:val="auto"/>
            </w:rPr>
            <w:tab/>
          </w:r>
          <w:r>
            <w:rPr>
              <w:color w:val="auto"/>
            </w:rPr>
            <w:fldChar w:fldCharType="begin"/>
          </w:r>
          <w:r>
            <w:rPr>
              <w:color w:val="auto"/>
            </w:rPr>
            <w:instrText xml:space="preserve"> PAGEREF _Toc1350 </w:instrText>
          </w:r>
          <w:r>
            <w:rPr>
              <w:color w:val="auto"/>
            </w:rPr>
            <w:fldChar w:fldCharType="separate"/>
          </w:r>
          <w:r>
            <w:rPr>
              <w:color w:val="auto"/>
            </w:rPr>
            <w:t>12</w:t>
          </w:r>
          <w:r>
            <w:rPr>
              <w:color w:val="auto"/>
            </w:rPr>
            <w:fldChar w:fldCharType="end"/>
          </w:r>
          <w:r>
            <w:rPr>
              <w:rFonts w:hint="eastAsia"/>
              <w:color w:val="auto"/>
            </w:rPr>
            <w:fldChar w:fldCharType="end"/>
          </w:r>
        </w:p>
        <w:p w14:paraId="003DF86A">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_Toc24251 </w:instrText>
          </w:r>
          <w:r>
            <w:rPr>
              <w:rFonts w:hint="eastAsia"/>
              <w:color w:val="auto"/>
            </w:rPr>
            <w:fldChar w:fldCharType="separate"/>
          </w:r>
          <w:r>
            <w:rPr>
              <w:rFonts w:hint="eastAsia" w:ascii="宋体" w:hAnsi="宋体" w:cs="宋体"/>
              <w:color w:val="auto"/>
              <w:szCs w:val="28"/>
              <w:lang w:val="en-US" w:eastAsia="zh-CN"/>
            </w:rPr>
            <w:t>4.8</w:t>
          </w:r>
          <w:r>
            <w:rPr>
              <w:rFonts w:hint="eastAsia" w:ascii="宋体" w:hAnsi="宋体" w:eastAsia="宋体" w:cs="宋体"/>
              <w:color w:val="auto"/>
              <w:szCs w:val="28"/>
            </w:rPr>
            <w:t xml:space="preserve"> 合同管理</w:t>
          </w:r>
          <w:r>
            <w:rPr>
              <w:color w:val="auto"/>
            </w:rPr>
            <w:tab/>
          </w:r>
          <w:r>
            <w:rPr>
              <w:color w:val="auto"/>
            </w:rPr>
            <w:fldChar w:fldCharType="begin"/>
          </w:r>
          <w:r>
            <w:rPr>
              <w:color w:val="auto"/>
            </w:rPr>
            <w:instrText xml:space="preserve"> PAGEREF _Toc24251 </w:instrText>
          </w:r>
          <w:r>
            <w:rPr>
              <w:color w:val="auto"/>
            </w:rPr>
            <w:fldChar w:fldCharType="separate"/>
          </w:r>
          <w:r>
            <w:rPr>
              <w:color w:val="auto"/>
            </w:rPr>
            <w:t>17</w:t>
          </w:r>
          <w:r>
            <w:rPr>
              <w:color w:val="auto"/>
            </w:rPr>
            <w:fldChar w:fldCharType="end"/>
          </w:r>
          <w:r>
            <w:rPr>
              <w:rFonts w:hint="eastAsia"/>
              <w:color w:val="auto"/>
            </w:rPr>
            <w:fldChar w:fldCharType="end"/>
          </w:r>
        </w:p>
        <w:p w14:paraId="4B5F76AD">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_Toc10303 </w:instrText>
          </w:r>
          <w:r>
            <w:rPr>
              <w:rFonts w:hint="eastAsia"/>
              <w:color w:val="auto"/>
            </w:rPr>
            <w:fldChar w:fldCharType="separate"/>
          </w:r>
          <w:r>
            <w:rPr>
              <w:rFonts w:hint="eastAsia" w:ascii="宋体" w:hAnsi="宋体" w:cs="宋体"/>
              <w:color w:val="auto"/>
              <w:szCs w:val="28"/>
              <w:lang w:val="en-US" w:eastAsia="zh-CN"/>
            </w:rPr>
            <w:t>4.9</w:t>
          </w:r>
          <w:r>
            <w:rPr>
              <w:rFonts w:hint="eastAsia" w:ascii="宋体" w:hAnsi="宋体" w:eastAsia="宋体" w:cs="宋体"/>
              <w:color w:val="auto"/>
              <w:szCs w:val="28"/>
            </w:rPr>
            <w:t>设备管理</w:t>
          </w:r>
          <w:r>
            <w:rPr>
              <w:color w:val="auto"/>
            </w:rPr>
            <w:tab/>
          </w:r>
          <w:r>
            <w:rPr>
              <w:color w:val="auto"/>
            </w:rPr>
            <w:fldChar w:fldCharType="begin"/>
          </w:r>
          <w:r>
            <w:rPr>
              <w:color w:val="auto"/>
            </w:rPr>
            <w:instrText xml:space="preserve"> PAGEREF _Toc10303 </w:instrText>
          </w:r>
          <w:r>
            <w:rPr>
              <w:color w:val="auto"/>
            </w:rPr>
            <w:fldChar w:fldCharType="separate"/>
          </w:r>
          <w:r>
            <w:rPr>
              <w:color w:val="auto"/>
            </w:rPr>
            <w:t>18</w:t>
          </w:r>
          <w:r>
            <w:rPr>
              <w:color w:val="auto"/>
            </w:rPr>
            <w:fldChar w:fldCharType="end"/>
          </w:r>
          <w:r>
            <w:rPr>
              <w:rFonts w:hint="eastAsia"/>
              <w:color w:val="auto"/>
            </w:rPr>
            <w:fldChar w:fldCharType="end"/>
          </w:r>
        </w:p>
        <w:p w14:paraId="52612BE1">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_Toc12288 </w:instrText>
          </w:r>
          <w:r>
            <w:rPr>
              <w:rFonts w:hint="eastAsia"/>
              <w:color w:val="auto"/>
            </w:rPr>
            <w:fldChar w:fldCharType="separate"/>
          </w:r>
          <w:r>
            <w:rPr>
              <w:rFonts w:hint="eastAsia" w:ascii="宋体" w:hAnsi="宋体" w:cs="宋体"/>
              <w:color w:val="auto"/>
              <w:szCs w:val="28"/>
              <w:lang w:val="en-US" w:eastAsia="zh-CN"/>
            </w:rPr>
            <w:t xml:space="preserve">4.10 </w:t>
          </w:r>
          <w:r>
            <w:rPr>
              <w:rFonts w:hint="eastAsia" w:ascii="宋体" w:hAnsi="宋体" w:eastAsia="宋体" w:cs="宋体"/>
              <w:color w:val="auto"/>
              <w:szCs w:val="28"/>
            </w:rPr>
            <w:t>人力资源管理</w:t>
          </w:r>
          <w:r>
            <w:rPr>
              <w:color w:val="auto"/>
            </w:rPr>
            <w:tab/>
          </w:r>
          <w:r>
            <w:rPr>
              <w:color w:val="auto"/>
            </w:rPr>
            <w:fldChar w:fldCharType="begin"/>
          </w:r>
          <w:r>
            <w:rPr>
              <w:color w:val="auto"/>
            </w:rPr>
            <w:instrText xml:space="preserve"> PAGEREF _Toc12288 </w:instrText>
          </w:r>
          <w:r>
            <w:rPr>
              <w:color w:val="auto"/>
            </w:rPr>
            <w:fldChar w:fldCharType="separate"/>
          </w:r>
          <w:r>
            <w:rPr>
              <w:color w:val="auto"/>
            </w:rPr>
            <w:t>18</w:t>
          </w:r>
          <w:r>
            <w:rPr>
              <w:color w:val="auto"/>
            </w:rPr>
            <w:fldChar w:fldCharType="end"/>
          </w:r>
          <w:r>
            <w:rPr>
              <w:rFonts w:hint="eastAsia"/>
              <w:color w:val="auto"/>
            </w:rPr>
            <w:fldChar w:fldCharType="end"/>
          </w:r>
        </w:p>
        <w:p w14:paraId="49835924">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_Toc31235 </w:instrText>
          </w:r>
          <w:r>
            <w:rPr>
              <w:rFonts w:hint="eastAsia"/>
              <w:color w:val="auto"/>
            </w:rPr>
            <w:fldChar w:fldCharType="separate"/>
          </w:r>
          <w:r>
            <w:rPr>
              <w:rFonts w:hint="eastAsia" w:ascii="宋体" w:hAnsi="宋体" w:cs="宋体"/>
              <w:color w:val="auto"/>
              <w:szCs w:val="28"/>
              <w:lang w:val="en-US" w:eastAsia="zh-CN"/>
            </w:rPr>
            <w:t xml:space="preserve">4.11 </w:t>
          </w:r>
          <w:r>
            <w:rPr>
              <w:rFonts w:hint="eastAsia" w:ascii="宋体" w:hAnsi="宋体" w:eastAsia="宋体" w:cs="宋体"/>
              <w:color w:val="auto"/>
              <w:szCs w:val="28"/>
            </w:rPr>
            <w:t>物流管理系统升级</w:t>
          </w:r>
          <w:r>
            <w:rPr>
              <w:color w:val="auto"/>
            </w:rPr>
            <w:tab/>
          </w:r>
          <w:r>
            <w:rPr>
              <w:color w:val="auto"/>
            </w:rPr>
            <w:fldChar w:fldCharType="begin"/>
          </w:r>
          <w:r>
            <w:rPr>
              <w:color w:val="auto"/>
            </w:rPr>
            <w:instrText xml:space="preserve"> PAGEREF _Toc31235 </w:instrText>
          </w:r>
          <w:r>
            <w:rPr>
              <w:color w:val="auto"/>
            </w:rPr>
            <w:fldChar w:fldCharType="separate"/>
          </w:r>
          <w:r>
            <w:rPr>
              <w:color w:val="auto"/>
            </w:rPr>
            <w:t>24</w:t>
          </w:r>
          <w:r>
            <w:rPr>
              <w:color w:val="auto"/>
            </w:rPr>
            <w:fldChar w:fldCharType="end"/>
          </w:r>
          <w:r>
            <w:rPr>
              <w:rFonts w:hint="eastAsia"/>
              <w:color w:val="auto"/>
            </w:rPr>
            <w:fldChar w:fldCharType="end"/>
          </w:r>
        </w:p>
        <w:p w14:paraId="1DB079A7">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_Toc3477 </w:instrText>
          </w:r>
          <w:r>
            <w:rPr>
              <w:rFonts w:hint="eastAsia"/>
              <w:color w:val="auto"/>
            </w:rPr>
            <w:fldChar w:fldCharType="separate"/>
          </w:r>
          <w:r>
            <w:rPr>
              <w:rFonts w:hint="eastAsia" w:ascii="宋体" w:hAnsi="宋体" w:cs="宋体"/>
              <w:bCs/>
              <w:color w:val="auto"/>
              <w:szCs w:val="28"/>
              <w:lang w:val="en-US" w:eastAsia="zh-CN"/>
            </w:rPr>
            <w:t xml:space="preserve">4.12 </w:t>
          </w:r>
          <w:r>
            <w:rPr>
              <w:rFonts w:hint="eastAsia" w:ascii="宋体" w:hAnsi="宋体" w:cs="宋体"/>
              <w:bCs/>
              <w:color w:val="auto"/>
              <w:szCs w:val="28"/>
            </w:rPr>
            <w:t>HRP系统与CA集成接口</w:t>
          </w:r>
          <w:r>
            <w:rPr>
              <w:color w:val="auto"/>
            </w:rPr>
            <w:tab/>
          </w:r>
          <w:r>
            <w:rPr>
              <w:color w:val="auto"/>
            </w:rPr>
            <w:fldChar w:fldCharType="begin"/>
          </w:r>
          <w:r>
            <w:rPr>
              <w:color w:val="auto"/>
            </w:rPr>
            <w:instrText xml:space="preserve"> PAGEREF _Toc3477 </w:instrText>
          </w:r>
          <w:r>
            <w:rPr>
              <w:color w:val="auto"/>
            </w:rPr>
            <w:fldChar w:fldCharType="separate"/>
          </w:r>
          <w:r>
            <w:rPr>
              <w:color w:val="auto"/>
            </w:rPr>
            <w:t>24</w:t>
          </w:r>
          <w:r>
            <w:rPr>
              <w:color w:val="auto"/>
            </w:rPr>
            <w:fldChar w:fldCharType="end"/>
          </w:r>
          <w:r>
            <w:rPr>
              <w:rFonts w:hint="eastAsia"/>
              <w:color w:val="auto"/>
            </w:rPr>
            <w:fldChar w:fldCharType="end"/>
          </w:r>
        </w:p>
        <w:p w14:paraId="50E1976C">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_Toc32187 </w:instrText>
          </w:r>
          <w:r>
            <w:rPr>
              <w:rFonts w:hint="eastAsia"/>
              <w:color w:val="auto"/>
            </w:rPr>
            <w:fldChar w:fldCharType="separate"/>
          </w:r>
          <w:r>
            <w:rPr>
              <w:rFonts w:hint="eastAsia" w:ascii="宋体" w:hAnsi="宋体" w:cs="宋体"/>
              <w:bCs/>
              <w:color w:val="auto"/>
              <w:szCs w:val="28"/>
              <w:lang w:val="en-US" w:eastAsia="zh-CN"/>
            </w:rPr>
            <w:t xml:space="preserve">4.13 </w:t>
          </w:r>
          <w:r>
            <w:rPr>
              <w:rFonts w:hint="eastAsia" w:ascii="宋体" w:hAnsi="宋体" w:cs="宋体"/>
              <w:bCs/>
              <w:color w:val="auto"/>
              <w:szCs w:val="28"/>
            </w:rPr>
            <w:t>HRP系统与</w:t>
          </w:r>
          <w:r>
            <w:rPr>
              <w:rFonts w:hint="eastAsia" w:ascii="宋体" w:hAnsi="宋体" w:cs="宋体"/>
              <w:bCs/>
              <w:color w:val="auto"/>
              <w:szCs w:val="28"/>
              <w:lang w:eastAsia="zh-CN"/>
            </w:rPr>
            <w:t>集成平台等系统</w:t>
          </w:r>
          <w:r>
            <w:rPr>
              <w:rFonts w:hint="eastAsia" w:ascii="宋体" w:hAnsi="宋体" w:cs="宋体"/>
              <w:bCs/>
              <w:color w:val="auto"/>
              <w:szCs w:val="28"/>
            </w:rPr>
            <w:t>接口</w:t>
          </w:r>
          <w:r>
            <w:rPr>
              <w:rFonts w:hint="eastAsia" w:ascii="宋体" w:hAnsi="宋体" w:cs="宋体"/>
              <w:bCs/>
              <w:color w:val="auto"/>
              <w:szCs w:val="28"/>
              <w:lang w:eastAsia="zh-CN"/>
            </w:rPr>
            <w:t>开发</w:t>
          </w:r>
          <w:r>
            <w:rPr>
              <w:color w:val="auto"/>
            </w:rPr>
            <w:tab/>
          </w:r>
          <w:r>
            <w:rPr>
              <w:color w:val="auto"/>
            </w:rPr>
            <w:fldChar w:fldCharType="begin"/>
          </w:r>
          <w:r>
            <w:rPr>
              <w:color w:val="auto"/>
            </w:rPr>
            <w:instrText xml:space="preserve"> PAGEREF _Toc32187 </w:instrText>
          </w:r>
          <w:r>
            <w:rPr>
              <w:color w:val="auto"/>
            </w:rPr>
            <w:fldChar w:fldCharType="separate"/>
          </w:r>
          <w:r>
            <w:rPr>
              <w:color w:val="auto"/>
            </w:rPr>
            <w:t>25</w:t>
          </w:r>
          <w:r>
            <w:rPr>
              <w:color w:val="auto"/>
            </w:rPr>
            <w:fldChar w:fldCharType="end"/>
          </w:r>
          <w:r>
            <w:rPr>
              <w:rFonts w:hint="eastAsia"/>
              <w:color w:val="auto"/>
            </w:rPr>
            <w:fldChar w:fldCharType="end"/>
          </w:r>
        </w:p>
        <w:p w14:paraId="488CF724">
          <w:pPr>
            <w:pStyle w:val="23"/>
            <w:tabs>
              <w:tab w:val="right" w:leader="dot" w:pos="8312"/>
            </w:tabs>
            <w:rPr>
              <w:color w:val="auto"/>
            </w:rPr>
          </w:pPr>
          <w:r>
            <w:rPr>
              <w:rFonts w:hint="eastAsia"/>
              <w:color w:val="auto"/>
            </w:rPr>
            <w:fldChar w:fldCharType="begin"/>
          </w:r>
          <w:r>
            <w:rPr>
              <w:rFonts w:hint="eastAsia"/>
              <w:color w:val="auto"/>
            </w:rPr>
            <w:instrText xml:space="preserve"> HYPERLINK \l _Toc28070 </w:instrText>
          </w:r>
          <w:r>
            <w:rPr>
              <w:rFonts w:hint="eastAsia"/>
              <w:color w:val="auto"/>
            </w:rPr>
            <w:fldChar w:fldCharType="separate"/>
          </w:r>
          <w:r>
            <w:rPr>
              <w:rFonts w:hint="eastAsia" w:ascii="宋体" w:hAnsi="宋体" w:cs="宋体"/>
              <w:color w:val="auto"/>
              <w:szCs w:val="32"/>
            </w:rPr>
            <w:t>五、 项目建设技术要求</w:t>
          </w:r>
          <w:r>
            <w:rPr>
              <w:color w:val="auto"/>
            </w:rPr>
            <w:tab/>
          </w:r>
          <w:r>
            <w:rPr>
              <w:color w:val="auto"/>
            </w:rPr>
            <w:fldChar w:fldCharType="begin"/>
          </w:r>
          <w:r>
            <w:rPr>
              <w:color w:val="auto"/>
            </w:rPr>
            <w:instrText xml:space="preserve"> PAGEREF _Toc28070 </w:instrText>
          </w:r>
          <w:r>
            <w:rPr>
              <w:color w:val="auto"/>
            </w:rPr>
            <w:fldChar w:fldCharType="separate"/>
          </w:r>
          <w:r>
            <w:rPr>
              <w:color w:val="auto"/>
            </w:rPr>
            <w:t>25</w:t>
          </w:r>
          <w:r>
            <w:rPr>
              <w:color w:val="auto"/>
            </w:rPr>
            <w:fldChar w:fldCharType="end"/>
          </w:r>
          <w:r>
            <w:rPr>
              <w:rFonts w:hint="eastAsia"/>
              <w:color w:val="auto"/>
            </w:rPr>
            <w:fldChar w:fldCharType="end"/>
          </w:r>
        </w:p>
        <w:p w14:paraId="620CF52C">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_Toc23039 </w:instrText>
          </w:r>
          <w:r>
            <w:rPr>
              <w:rFonts w:hint="eastAsia"/>
              <w:color w:val="auto"/>
            </w:rPr>
            <w:fldChar w:fldCharType="separate"/>
          </w:r>
          <w:r>
            <w:rPr>
              <w:rFonts w:hint="eastAsia" w:ascii="宋体" w:hAnsi="宋体" w:cs="宋体"/>
              <w:bCs/>
              <w:color w:val="auto"/>
              <w:lang w:val="en-US" w:eastAsia="zh-CN"/>
            </w:rPr>
            <w:t xml:space="preserve">5.1 </w:t>
          </w:r>
          <w:r>
            <w:rPr>
              <w:rFonts w:hint="eastAsia" w:ascii="宋体" w:hAnsi="宋体" w:cs="宋体"/>
              <w:bCs/>
              <w:color w:val="auto"/>
            </w:rPr>
            <w:t>系统技术要求</w:t>
          </w:r>
          <w:r>
            <w:rPr>
              <w:color w:val="auto"/>
            </w:rPr>
            <w:tab/>
          </w:r>
          <w:r>
            <w:rPr>
              <w:color w:val="auto"/>
            </w:rPr>
            <w:fldChar w:fldCharType="begin"/>
          </w:r>
          <w:r>
            <w:rPr>
              <w:color w:val="auto"/>
            </w:rPr>
            <w:instrText xml:space="preserve"> PAGEREF _Toc23039 </w:instrText>
          </w:r>
          <w:r>
            <w:rPr>
              <w:color w:val="auto"/>
            </w:rPr>
            <w:fldChar w:fldCharType="separate"/>
          </w:r>
          <w:r>
            <w:rPr>
              <w:color w:val="auto"/>
            </w:rPr>
            <w:t>25</w:t>
          </w:r>
          <w:r>
            <w:rPr>
              <w:color w:val="auto"/>
            </w:rPr>
            <w:fldChar w:fldCharType="end"/>
          </w:r>
          <w:r>
            <w:rPr>
              <w:rFonts w:hint="eastAsia"/>
              <w:color w:val="auto"/>
            </w:rPr>
            <w:fldChar w:fldCharType="end"/>
          </w:r>
        </w:p>
        <w:p w14:paraId="71070F6C">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_Toc10525 </w:instrText>
          </w:r>
          <w:r>
            <w:rPr>
              <w:rFonts w:hint="eastAsia"/>
              <w:color w:val="auto"/>
            </w:rPr>
            <w:fldChar w:fldCharType="separate"/>
          </w:r>
          <w:r>
            <w:rPr>
              <w:rFonts w:hint="eastAsia" w:ascii="宋体" w:hAnsi="宋体" w:cs="宋体"/>
              <w:bCs/>
              <w:color w:val="auto"/>
              <w:lang w:val="en-US" w:eastAsia="zh-CN"/>
            </w:rPr>
            <w:t xml:space="preserve">5.2 </w:t>
          </w:r>
          <w:r>
            <w:rPr>
              <w:rFonts w:hint="eastAsia" w:ascii="宋体" w:hAnsi="宋体" w:cs="宋体"/>
              <w:bCs/>
              <w:color w:val="auto"/>
            </w:rPr>
            <w:t>环境配置要求</w:t>
          </w:r>
          <w:r>
            <w:rPr>
              <w:color w:val="auto"/>
            </w:rPr>
            <w:tab/>
          </w:r>
          <w:r>
            <w:rPr>
              <w:color w:val="auto"/>
            </w:rPr>
            <w:fldChar w:fldCharType="begin"/>
          </w:r>
          <w:r>
            <w:rPr>
              <w:color w:val="auto"/>
            </w:rPr>
            <w:instrText xml:space="preserve"> PAGEREF _Toc10525 </w:instrText>
          </w:r>
          <w:r>
            <w:rPr>
              <w:color w:val="auto"/>
            </w:rPr>
            <w:fldChar w:fldCharType="separate"/>
          </w:r>
          <w:r>
            <w:rPr>
              <w:color w:val="auto"/>
            </w:rPr>
            <w:t>26</w:t>
          </w:r>
          <w:r>
            <w:rPr>
              <w:color w:val="auto"/>
            </w:rPr>
            <w:fldChar w:fldCharType="end"/>
          </w:r>
          <w:r>
            <w:rPr>
              <w:rFonts w:hint="eastAsia"/>
              <w:color w:val="auto"/>
            </w:rPr>
            <w:fldChar w:fldCharType="end"/>
          </w:r>
        </w:p>
        <w:p w14:paraId="0E7B3D30">
          <w:pPr>
            <w:pStyle w:val="27"/>
            <w:tabs>
              <w:tab w:val="right" w:leader="dot" w:pos="8312"/>
              <w:tab w:val="clear" w:pos="709"/>
              <w:tab w:val="clear" w:pos="8990"/>
            </w:tabs>
            <w:rPr>
              <w:color w:val="auto"/>
            </w:rPr>
          </w:pPr>
          <w:r>
            <w:rPr>
              <w:rFonts w:hint="eastAsia"/>
              <w:color w:val="auto"/>
            </w:rPr>
            <w:fldChar w:fldCharType="begin"/>
          </w:r>
          <w:r>
            <w:rPr>
              <w:rFonts w:hint="eastAsia"/>
              <w:color w:val="auto"/>
            </w:rPr>
            <w:instrText xml:space="preserve"> HYPERLINK \l _Toc26101 </w:instrText>
          </w:r>
          <w:r>
            <w:rPr>
              <w:rFonts w:hint="eastAsia"/>
              <w:color w:val="auto"/>
            </w:rPr>
            <w:fldChar w:fldCharType="separate"/>
          </w:r>
          <w:r>
            <w:rPr>
              <w:rFonts w:hint="eastAsia" w:ascii="宋体" w:hAnsi="宋体" w:cs="宋体"/>
              <w:bCs/>
              <w:color w:val="auto"/>
              <w:lang w:val="en-US" w:eastAsia="zh-CN"/>
            </w:rPr>
            <w:t xml:space="preserve">5.3 </w:t>
          </w:r>
          <w:r>
            <w:rPr>
              <w:rFonts w:hint="eastAsia" w:ascii="宋体" w:hAnsi="宋体" w:cs="宋体"/>
              <w:bCs/>
              <w:color w:val="auto"/>
            </w:rPr>
            <w:t>接口管理要求</w:t>
          </w:r>
          <w:r>
            <w:rPr>
              <w:color w:val="auto"/>
            </w:rPr>
            <w:tab/>
          </w:r>
          <w:r>
            <w:rPr>
              <w:color w:val="auto"/>
            </w:rPr>
            <w:fldChar w:fldCharType="begin"/>
          </w:r>
          <w:r>
            <w:rPr>
              <w:color w:val="auto"/>
            </w:rPr>
            <w:instrText xml:space="preserve"> PAGEREF _Toc26101 </w:instrText>
          </w:r>
          <w:r>
            <w:rPr>
              <w:color w:val="auto"/>
            </w:rPr>
            <w:fldChar w:fldCharType="separate"/>
          </w:r>
          <w:r>
            <w:rPr>
              <w:color w:val="auto"/>
            </w:rPr>
            <w:t>26</w:t>
          </w:r>
          <w:r>
            <w:rPr>
              <w:color w:val="auto"/>
            </w:rPr>
            <w:fldChar w:fldCharType="end"/>
          </w:r>
          <w:r>
            <w:rPr>
              <w:rFonts w:hint="eastAsia"/>
              <w:color w:val="auto"/>
            </w:rPr>
            <w:fldChar w:fldCharType="end"/>
          </w:r>
        </w:p>
        <w:p w14:paraId="23727AF7">
          <w:pPr>
            <w:pStyle w:val="23"/>
            <w:tabs>
              <w:tab w:val="right" w:leader="dot" w:pos="8312"/>
            </w:tabs>
            <w:rPr>
              <w:color w:val="auto"/>
            </w:rPr>
          </w:pPr>
          <w:r>
            <w:rPr>
              <w:rFonts w:hint="eastAsia"/>
              <w:color w:val="auto"/>
            </w:rPr>
            <w:fldChar w:fldCharType="begin"/>
          </w:r>
          <w:r>
            <w:rPr>
              <w:rFonts w:hint="eastAsia"/>
              <w:color w:val="auto"/>
            </w:rPr>
            <w:instrText xml:space="preserve"> HYPERLINK \l _Toc15558 </w:instrText>
          </w:r>
          <w:r>
            <w:rPr>
              <w:rFonts w:hint="eastAsia"/>
              <w:color w:val="auto"/>
            </w:rPr>
            <w:fldChar w:fldCharType="separate"/>
          </w:r>
          <w:r>
            <w:rPr>
              <w:rFonts w:hint="eastAsia" w:ascii="宋体" w:hAnsi="宋体" w:cs="宋体"/>
              <w:color w:val="auto"/>
              <w:szCs w:val="32"/>
            </w:rPr>
            <w:t>六、 售后服务要求</w:t>
          </w:r>
          <w:r>
            <w:rPr>
              <w:color w:val="auto"/>
            </w:rPr>
            <w:tab/>
          </w:r>
          <w:r>
            <w:rPr>
              <w:color w:val="auto"/>
            </w:rPr>
            <w:fldChar w:fldCharType="begin"/>
          </w:r>
          <w:r>
            <w:rPr>
              <w:color w:val="auto"/>
            </w:rPr>
            <w:instrText xml:space="preserve"> PAGEREF _Toc15558 </w:instrText>
          </w:r>
          <w:r>
            <w:rPr>
              <w:color w:val="auto"/>
            </w:rPr>
            <w:fldChar w:fldCharType="separate"/>
          </w:r>
          <w:r>
            <w:rPr>
              <w:color w:val="auto"/>
            </w:rPr>
            <w:t>26</w:t>
          </w:r>
          <w:r>
            <w:rPr>
              <w:color w:val="auto"/>
            </w:rPr>
            <w:fldChar w:fldCharType="end"/>
          </w:r>
          <w:r>
            <w:rPr>
              <w:rFonts w:hint="eastAsia"/>
              <w:color w:val="auto"/>
            </w:rPr>
            <w:fldChar w:fldCharType="end"/>
          </w:r>
        </w:p>
        <w:p w14:paraId="3A785602">
          <w:pPr>
            <w:pStyle w:val="23"/>
            <w:tabs>
              <w:tab w:val="right" w:leader="dot" w:pos="8312"/>
            </w:tabs>
            <w:rPr>
              <w:color w:val="auto"/>
            </w:rPr>
          </w:pPr>
          <w:r>
            <w:rPr>
              <w:rFonts w:hint="eastAsia"/>
              <w:color w:val="auto"/>
            </w:rPr>
            <w:fldChar w:fldCharType="begin"/>
          </w:r>
          <w:r>
            <w:rPr>
              <w:rFonts w:hint="eastAsia"/>
              <w:color w:val="auto"/>
            </w:rPr>
            <w:instrText xml:space="preserve"> HYPERLINK \l _Toc11383 </w:instrText>
          </w:r>
          <w:r>
            <w:rPr>
              <w:rFonts w:hint="eastAsia"/>
              <w:color w:val="auto"/>
            </w:rPr>
            <w:fldChar w:fldCharType="separate"/>
          </w:r>
          <w:r>
            <w:rPr>
              <w:rFonts w:hint="eastAsia" w:ascii="宋体" w:hAnsi="宋体" w:cs="宋体"/>
              <w:color w:val="auto"/>
              <w:szCs w:val="32"/>
            </w:rPr>
            <w:t>七、 其他要求</w:t>
          </w:r>
          <w:r>
            <w:rPr>
              <w:color w:val="auto"/>
            </w:rPr>
            <w:tab/>
          </w:r>
          <w:r>
            <w:rPr>
              <w:color w:val="auto"/>
            </w:rPr>
            <w:fldChar w:fldCharType="begin"/>
          </w:r>
          <w:r>
            <w:rPr>
              <w:color w:val="auto"/>
            </w:rPr>
            <w:instrText xml:space="preserve"> PAGEREF _Toc11383 </w:instrText>
          </w:r>
          <w:r>
            <w:rPr>
              <w:color w:val="auto"/>
            </w:rPr>
            <w:fldChar w:fldCharType="separate"/>
          </w:r>
          <w:r>
            <w:rPr>
              <w:color w:val="auto"/>
            </w:rPr>
            <w:t>27</w:t>
          </w:r>
          <w:r>
            <w:rPr>
              <w:color w:val="auto"/>
            </w:rPr>
            <w:fldChar w:fldCharType="end"/>
          </w:r>
          <w:r>
            <w:rPr>
              <w:rFonts w:hint="eastAsia"/>
              <w:color w:val="auto"/>
            </w:rPr>
            <w:fldChar w:fldCharType="end"/>
          </w:r>
        </w:p>
        <w:p w14:paraId="2C80FF68">
          <w:pPr>
            <w:pStyle w:val="14"/>
            <w:rPr>
              <w:b/>
              <w:bCs/>
              <w:color w:val="auto"/>
              <w:sz w:val="21"/>
              <w:szCs w:val="24"/>
            </w:rPr>
          </w:pPr>
          <w:r>
            <w:rPr>
              <w:rFonts w:hint="eastAsia"/>
              <w:color w:val="auto"/>
            </w:rPr>
            <w:fldChar w:fldCharType="end"/>
          </w:r>
        </w:p>
      </w:sdtContent>
    </w:sdt>
    <w:p w14:paraId="7AE8CD5E">
      <w:pPr>
        <w:rPr>
          <w:color w:val="auto"/>
        </w:rPr>
      </w:pPr>
    </w:p>
    <w:p w14:paraId="5437F1E8">
      <w:pPr>
        <w:pStyle w:val="14"/>
        <w:rPr>
          <w:color w:val="auto"/>
        </w:rPr>
      </w:pPr>
    </w:p>
    <w:p w14:paraId="5BEF96F4">
      <w:pPr>
        <w:rPr>
          <w:rFonts w:ascii="宋体" w:hAnsi="宋体" w:cs="宋体"/>
          <w:b/>
          <w:bCs/>
          <w:color w:val="auto"/>
          <w:sz w:val="32"/>
          <w:szCs w:val="32"/>
        </w:rPr>
      </w:pPr>
      <w:bookmarkStart w:id="1" w:name="_Toc6674"/>
      <w:r>
        <w:rPr>
          <w:rFonts w:hint="eastAsia" w:ascii="宋体" w:hAnsi="宋体" w:cs="宋体"/>
          <w:b/>
          <w:bCs/>
          <w:color w:val="auto"/>
          <w:sz w:val="32"/>
          <w:szCs w:val="32"/>
        </w:rPr>
        <w:br w:type="page"/>
      </w:r>
    </w:p>
    <w:p w14:paraId="62A29F5A">
      <w:pPr>
        <w:pStyle w:val="2"/>
        <w:numPr>
          <w:ilvl w:val="0"/>
          <w:numId w:val="0"/>
        </w:numPr>
        <w:spacing w:before="0" w:after="0" w:line="360" w:lineRule="auto"/>
        <w:jc w:val="center"/>
        <w:rPr>
          <w:rFonts w:ascii="宋体" w:hAnsi="宋体" w:cs="宋体"/>
          <w:color w:val="auto"/>
          <w:sz w:val="32"/>
          <w:szCs w:val="32"/>
        </w:rPr>
      </w:pPr>
      <w:bookmarkStart w:id="2" w:name="_Toc16360"/>
      <w:bookmarkStart w:id="3" w:name="_Toc5252"/>
      <w:bookmarkStart w:id="4" w:name="_Toc198885027"/>
      <w:bookmarkStart w:id="5" w:name="_Toc10322"/>
      <w:bookmarkStart w:id="6" w:name="_Toc5907"/>
      <w:r>
        <w:rPr>
          <w:rFonts w:hint="eastAsia" w:ascii="宋体" w:hAnsi="宋体" w:cs="宋体"/>
          <w:color w:val="auto"/>
          <w:sz w:val="32"/>
          <w:szCs w:val="32"/>
        </w:rPr>
        <w:t>广东省中医院珠海医院</w:t>
      </w:r>
      <w:bookmarkEnd w:id="1"/>
      <w:r>
        <w:rPr>
          <w:rFonts w:hint="eastAsia" w:ascii="宋体" w:hAnsi="宋体" w:cs="宋体"/>
          <w:color w:val="auto"/>
          <w:sz w:val="32"/>
          <w:szCs w:val="32"/>
        </w:rPr>
        <w:t>HRP系统采购需求</w:t>
      </w:r>
      <w:bookmarkEnd w:id="2"/>
      <w:bookmarkEnd w:id="3"/>
      <w:bookmarkEnd w:id="4"/>
      <w:bookmarkEnd w:id="5"/>
      <w:bookmarkEnd w:id="6"/>
    </w:p>
    <w:p w14:paraId="2570C3C3">
      <w:pPr>
        <w:jc w:val="center"/>
        <w:rPr>
          <w:rFonts w:ascii="宋体" w:hAnsi="宋体" w:cs="宋体"/>
          <w:b/>
          <w:bCs/>
          <w:color w:val="auto"/>
          <w:sz w:val="32"/>
          <w:szCs w:val="32"/>
        </w:rPr>
      </w:pPr>
    </w:p>
    <w:p w14:paraId="71F0D192">
      <w:pPr>
        <w:pStyle w:val="2"/>
        <w:numPr>
          <w:ilvl w:val="0"/>
          <w:numId w:val="4"/>
        </w:numPr>
        <w:spacing w:before="0" w:after="0" w:line="360" w:lineRule="auto"/>
        <w:jc w:val="left"/>
        <w:rPr>
          <w:rFonts w:ascii="宋体" w:hAnsi="宋体" w:cs="宋体"/>
          <w:color w:val="auto"/>
          <w:sz w:val="32"/>
          <w:szCs w:val="32"/>
        </w:rPr>
      </w:pPr>
      <w:bookmarkStart w:id="7" w:name="_Toc11708"/>
      <w:bookmarkStart w:id="8" w:name="_Toc10511"/>
      <w:bookmarkStart w:id="9" w:name="_Toc9454"/>
      <w:bookmarkStart w:id="10" w:name="_Toc198885028"/>
      <w:bookmarkStart w:id="11" w:name="_Toc21504"/>
      <w:r>
        <w:rPr>
          <w:rFonts w:hint="eastAsia" w:ascii="宋体" w:hAnsi="宋体" w:cs="宋体"/>
          <w:color w:val="auto"/>
          <w:sz w:val="32"/>
          <w:szCs w:val="32"/>
        </w:rPr>
        <w:t>采购背景</w:t>
      </w:r>
      <w:bookmarkEnd w:id="0"/>
      <w:bookmarkEnd w:id="7"/>
      <w:bookmarkEnd w:id="8"/>
      <w:bookmarkEnd w:id="9"/>
      <w:bookmarkEnd w:id="10"/>
      <w:bookmarkEnd w:id="11"/>
    </w:p>
    <w:p w14:paraId="60C5E4DA">
      <w:pPr>
        <w:pStyle w:val="74"/>
        <w:spacing w:line="360" w:lineRule="auto"/>
        <w:jc w:val="left"/>
        <w:rPr>
          <w:rFonts w:ascii="宋体" w:hAnsi="宋体" w:cs="宋体"/>
          <w:color w:val="auto"/>
        </w:rPr>
      </w:pPr>
      <w:r>
        <w:rPr>
          <w:rFonts w:hint="eastAsia" w:ascii="宋体" w:hAnsi="宋体" w:cs="宋体"/>
          <w:color w:val="auto"/>
        </w:rPr>
        <w:t>根据国卫财务发《关于印发公立医院全面预算管理制度实施办法的通知》（国卫财务发〔2020〕30号）、国卫财务发〔2020〕31号《关于印发公立医院内部控制管理制度实施办法的通知》、国办发〔2021〕18号《关于推动公立医院高质量发展的意见》等多部委联合发布的医院运营管理体系建设文件要求。通过医院HRP项目建设，引入现代医院管理的思想和理念，基于统一的技术平台及应用平台，建立以全面预算管理为龙头，以财务核算，以成本管控为目标，贯穿整个医院精细化运营的HRP系统，产生颗粒度更细、完整度更高的数据信息，实现运营与医疗的高效协同，规范临床诊疗行为，持续优化、改善医疗服务行为，降低医院运行成本，实现医疗质量和医疗成本的有效平衡。</w:t>
      </w:r>
    </w:p>
    <w:p w14:paraId="5B441DF0">
      <w:pPr>
        <w:pStyle w:val="74"/>
        <w:spacing w:line="360" w:lineRule="auto"/>
        <w:jc w:val="left"/>
        <w:rPr>
          <w:rFonts w:ascii="宋体" w:hAnsi="宋体" w:cs="宋体"/>
          <w:color w:val="auto"/>
        </w:rPr>
      </w:pPr>
    </w:p>
    <w:p w14:paraId="3F2882B1">
      <w:pPr>
        <w:pStyle w:val="2"/>
        <w:numPr>
          <w:ilvl w:val="0"/>
          <w:numId w:val="4"/>
        </w:numPr>
        <w:spacing w:before="0" w:after="0" w:line="360" w:lineRule="auto"/>
        <w:jc w:val="left"/>
        <w:rPr>
          <w:rFonts w:ascii="宋体" w:hAnsi="宋体" w:cs="宋体"/>
          <w:color w:val="auto"/>
          <w:sz w:val="32"/>
          <w:szCs w:val="32"/>
        </w:rPr>
      </w:pPr>
      <w:bookmarkStart w:id="12" w:name="_Toc31554"/>
      <w:bookmarkStart w:id="13" w:name="_Toc6858"/>
      <w:bookmarkStart w:id="14" w:name="_Toc9734"/>
      <w:bookmarkStart w:id="15" w:name="_Toc21997"/>
      <w:bookmarkStart w:id="16" w:name="_Toc198885029"/>
      <w:r>
        <w:rPr>
          <w:rFonts w:hint="eastAsia" w:ascii="宋体" w:hAnsi="宋体" w:cs="宋体"/>
          <w:color w:val="auto"/>
          <w:sz w:val="32"/>
          <w:szCs w:val="32"/>
        </w:rPr>
        <w:t>建设目标</w:t>
      </w:r>
      <w:bookmarkEnd w:id="12"/>
      <w:bookmarkEnd w:id="13"/>
      <w:bookmarkEnd w:id="14"/>
      <w:bookmarkEnd w:id="15"/>
      <w:bookmarkEnd w:id="16"/>
    </w:p>
    <w:p w14:paraId="302B9E0C">
      <w:pPr>
        <w:spacing w:line="360" w:lineRule="auto"/>
        <w:ind w:firstLine="420"/>
        <w:rPr>
          <w:rFonts w:ascii="宋体" w:hAnsi="宋体" w:cs="宋体"/>
          <w:color w:val="auto"/>
        </w:rPr>
      </w:pPr>
      <w:r>
        <w:rPr>
          <w:rFonts w:hint="eastAsia" w:ascii="宋体" w:hAnsi="宋体" w:cs="宋体"/>
          <w:color w:val="auto"/>
        </w:rPr>
        <w:t>通过系统建设，实现医院运营管理迈向“一体化、流程化、规范化、精准化、智能化、数字化、平台化”的后精细化管理时代，实现医院从运营管理和临床管理两个维度齐头并进，打造数字化智能医院，帮助医院构建“以预算管理为主线、人财物精细管理为支撑、成本核算为核心、绩效管理为杠杆、数据分析为依据”的完整经济管理闭环，形成以员工能力为核心的人力资源管理体系，强化人力资本管理；以预算为主线的智慧财经管理体系，确保内控有力、业务高效；以供应链业务协同为基础的智能物联管理体系，有效服务临床，降低物耗成本；以业财融合为核心实现财务管理转型升级；以大数据智能分析负责运营管理决策。</w:t>
      </w:r>
    </w:p>
    <w:p w14:paraId="6B3F6949">
      <w:pPr>
        <w:rPr>
          <w:rFonts w:ascii="宋体" w:hAnsi="宋体" w:cs="宋体"/>
          <w:color w:val="auto"/>
        </w:rPr>
      </w:pPr>
      <w:r>
        <w:rPr>
          <w:rFonts w:hint="eastAsia" w:ascii="宋体" w:hAnsi="宋体" w:cs="宋体"/>
          <w:color w:val="auto"/>
        </w:rPr>
        <w:br w:type="page"/>
      </w:r>
    </w:p>
    <w:p w14:paraId="0FDA7874">
      <w:pPr>
        <w:pStyle w:val="15"/>
        <w:rPr>
          <w:color w:val="auto"/>
        </w:rPr>
      </w:pPr>
    </w:p>
    <w:p w14:paraId="6ADBC58D">
      <w:pPr>
        <w:pStyle w:val="2"/>
        <w:numPr>
          <w:ilvl w:val="0"/>
          <w:numId w:val="4"/>
        </w:numPr>
        <w:spacing w:before="0" w:after="0" w:line="360" w:lineRule="auto"/>
        <w:jc w:val="left"/>
        <w:rPr>
          <w:rFonts w:ascii="宋体" w:hAnsi="宋体" w:cs="宋体"/>
          <w:color w:val="auto"/>
          <w:sz w:val="32"/>
          <w:szCs w:val="32"/>
        </w:rPr>
      </w:pPr>
      <w:bookmarkStart w:id="17" w:name="_Toc15975"/>
      <w:bookmarkStart w:id="18" w:name="_Toc19813"/>
      <w:bookmarkStart w:id="19" w:name="_Toc29554"/>
      <w:bookmarkStart w:id="20" w:name="_Toc198885030"/>
      <w:bookmarkStart w:id="21" w:name="_Toc73617016"/>
      <w:bookmarkStart w:id="22" w:name="_Toc14444"/>
      <w:r>
        <w:rPr>
          <w:rFonts w:hint="eastAsia" w:ascii="宋体" w:hAnsi="宋体" w:cs="宋体"/>
          <w:color w:val="auto"/>
          <w:sz w:val="32"/>
          <w:szCs w:val="32"/>
        </w:rPr>
        <w:t>建设内容</w:t>
      </w:r>
      <w:bookmarkEnd w:id="17"/>
      <w:bookmarkEnd w:id="18"/>
      <w:bookmarkEnd w:id="19"/>
      <w:bookmarkEnd w:id="20"/>
      <w:bookmarkEnd w:id="21"/>
      <w:bookmarkEnd w:id="22"/>
    </w:p>
    <w:tbl>
      <w:tblPr>
        <w:tblStyle w:val="31"/>
        <w:tblW w:w="8525" w:type="dxa"/>
        <w:tblInd w:w="0" w:type="dxa"/>
        <w:tblLayout w:type="fixed"/>
        <w:tblCellMar>
          <w:top w:w="0" w:type="dxa"/>
          <w:left w:w="108" w:type="dxa"/>
          <w:bottom w:w="0" w:type="dxa"/>
          <w:right w:w="108" w:type="dxa"/>
        </w:tblCellMar>
      </w:tblPr>
      <w:tblGrid>
        <w:gridCol w:w="990"/>
        <w:gridCol w:w="1192"/>
        <w:gridCol w:w="6343"/>
      </w:tblGrid>
      <w:tr w14:paraId="2F98FF7A">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9E8F">
            <w:pPr>
              <w:widowControl/>
              <w:jc w:val="center"/>
              <w:textAlignment w:val="center"/>
              <w:rPr>
                <w:rFonts w:ascii="宋体" w:hAnsi="宋体" w:cs="宋体"/>
                <w:b/>
                <w:bCs/>
                <w:color w:val="auto"/>
              </w:rPr>
            </w:pPr>
            <w:r>
              <w:rPr>
                <w:rFonts w:hint="eastAsia" w:ascii="宋体" w:hAnsi="宋体" w:cs="宋体"/>
                <w:b/>
                <w:bCs/>
                <w:color w:val="auto"/>
                <w:kern w:val="0"/>
                <w:lang w:bidi="ar"/>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589">
            <w:pPr>
              <w:widowControl/>
              <w:jc w:val="center"/>
              <w:textAlignment w:val="center"/>
              <w:rPr>
                <w:rFonts w:ascii="宋体" w:hAnsi="宋体" w:cs="宋体"/>
                <w:b/>
                <w:bCs/>
                <w:color w:val="auto"/>
              </w:rPr>
            </w:pPr>
            <w:r>
              <w:rPr>
                <w:rFonts w:hint="eastAsia" w:ascii="宋体" w:hAnsi="宋体" w:cs="宋体"/>
                <w:b/>
                <w:bCs/>
                <w:color w:val="auto"/>
                <w:kern w:val="0"/>
                <w:lang w:bidi="ar"/>
              </w:rPr>
              <w:t>类型</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30C">
            <w:pPr>
              <w:widowControl/>
              <w:jc w:val="center"/>
              <w:textAlignment w:val="center"/>
              <w:rPr>
                <w:rFonts w:ascii="宋体" w:hAnsi="宋体" w:cs="宋体"/>
                <w:b/>
                <w:bCs/>
                <w:color w:val="auto"/>
              </w:rPr>
            </w:pPr>
            <w:r>
              <w:rPr>
                <w:rFonts w:hint="eastAsia" w:ascii="宋体" w:hAnsi="宋体" w:cs="宋体"/>
                <w:b/>
                <w:bCs/>
                <w:color w:val="auto"/>
                <w:kern w:val="0"/>
                <w:lang w:bidi="ar"/>
              </w:rPr>
              <w:t>软件产品名称</w:t>
            </w:r>
          </w:p>
        </w:tc>
      </w:tr>
      <w:tr w14:paraId="1CB42554">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7D88">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6C3F">
            <w:pPr>
              <w:widowControl/>
              <w:jc w:val="center"/>
              <w:textAlignment w:val="center"/>
              <w:rPr>
                <w:rFonts w:ascii="宋体" w:hAnsi="宋体" w:cs="宋体"/>
                <w:color w:val="auto"/>
                <w:kern w:val="0"/>
                <w:lang w:bidi="ar"/>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087D">
            <w:pPr>
              <w:widowControl/>
              <w:jc w:val="left"/>
              <w:textAlignment w:val="center"/>
              <w:rPr>
                <w:rFonts w:ascii="宋体" w:hAnsi="宋体" w:cs="宋体"/>
                <w:color w:val="auto"/>
                <w:kern w:val="0"/>
                <w:lang w:bidi="ar"/>
              </w:rPr>
            </w:pPr>
            <w:r>
              <w:rPr>
                <w:rFonts w:hint="eastAsia" w:ascii="宋体" w:hAnsi="宋体" w:cs="宋体"/>
                <w:color w:val="auto"/>
                <w:kern w:val="0"/>
                <w:lang w:bidi="ar"/>
              </w:rPr>
              <w:t>业务基础平台</w:t>
            </w:r>
          </w:p>
        </w:tc>
      </w:tr>
      <w:tr w14:paraId="0F064C52">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5AC">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7AF4">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29AF">
            <w:pPr>
              <w:widowControl/>
              <w:jc w:val="left"/>
              <w:textAlignment w:val="center"/>
              <w:rPr>
                <w:rFonts w:ascii="宋体" w:hAnsi="宋体" w:cs="宋体"/>
                <w:color w:val="auto"/>
                <w:kern w:val="0"/>
                <w:lang w:bidi="ar"/>
              </w:rPr>
            </w:pPr>
            <w:r>
              <w:rPr>
                <w:rFonts w:hint="eastAsia" w:ascii="宋体" w:hAnsi="宋体" w:cs="宋体"/>
                <w:color w:val="auto"/>
                <w:kern w:val="0"/>
                <w:lang w:bidi="ar"/>
              </w:rPr>
              <w:t>医院财务会计管理系统</w:t>
            </w:r>
          </w:p>
        </w:tc>
      </w:tr>
      <w:tr w14:paraId="755A37F4">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A9A1">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853">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37B1">
            <w:pPr>
              <w:widowControl/>
              <w:jc w:val="left"/>
              <w:textAlignment w:val="center"/>
              <w:rPr>
                <w:rFonts w:ascii="宋体" w:hAnsi="宋体" w:cs="宋体"/>
                <w:color w:val="auto"/>
                <w:kern w:val="0"/>
                <w:lang w:bidi="ar"/>
              </w:rPr>
            </w:pPr>
            <w:r>
              <w:rPr>
                <w:rFonts w:hint="eastAsia" w:ascii="宋体" w:hAnsi="宋体" w:cs="宋体"/>
                <w:color w:val="auto"/>
                <w:kern w:val="0"/>
                <w:lang w:bidi="ar"/>
              </w:rPr>
              <w:t>医院全面预算管理系统</w:t>
            </w:r>
          </w:p>
        </w:tc>
      </w:tr>
      <w:tr w14:paraId="5CDD0061">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6D66">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1A7D">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60BF">
            <w:pPr>
              <w:widowControl/>
              <w:jc w:val="left"/>
              <w:textAlignment w:val="center"/>
              <w:rPr>
                <w:rFonts w:ascii="宋体" w:hAnsi="宋体" w:cs="宋体"/>
                <w:color w:val="auto"/>
              </w:rPr>
            </w:pPr>
            <w:r>
              <w:rPr>
                <w:rFonts w:hint="eastAsia" w:ascii="宋体" w:hAnsi="宋体" w:cs="宋体"/>
                <w:color w:val="auto"/>
              </w:rPr>
              <w:t>医院科室成本管理系统</w:t>
            </w:r>
          </w:p>
        </w:tc>
      </w:tr>
      <w:tr w14:paraId="3282ACAA">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CF16">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D280">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7663">
            <w:pPr>
              <w:widowControl/>
              <w:jc w:val="left"/>
              <w:textAlignment w:val="center"/>
              <w:rPr>
                <w:rFonts w:ascii="宋体" w:hAnsi="宋体" w:cs="宋体"/>
                <w:color w:val="auto"/>
              </w:rPr>
            </w:pPr>
            <w:r>
              <w:rPr>
                <w:rFonts w:hint="eastAsia" w:ascii="宋体" w:hAnsi="宋体" w:cs="宋体"/>
                <w:color w:val="auto"/>
              </w:rPr>
              <w:t>医疗服务项目成本管理系统</w:t>
            </w:r>
          </w:p>
        </w:tc>
      </w:tr>
      <w:tr w14:paraId="5D307DB6">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21E3">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3726">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BF2E">
            <w:pPr>
              <w:widowControl/>
              <w:jc w:val="left"/>
              <w:textAlignment w:val="center"/>
              <w:rPr>
                <w:rFonts w:ascii="宋体" w:hAnsi="宋体" w:cs="宋体"/>
                <w:color w:val="auto"/>
              </w:rPr>
            </w:pPr>
            <w:r>
              <w:rPr>
                <w:rFonts w:hint="eastAsia" w:ascii="宋体" w:hAnsi="宋体" w:cs="宋体"/>
                <w:color w:val="auto"/>
              </w:rPr>
              <w:t>DIP成本（叠加法）管理系统</w:t>
            </w:r>
          </w:p>
        </w:tc>
      </w:tr>
      <w:tr w14:paraId="73C33B99">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AE17">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AD76">
            <w:pPr>
              <w:widowControl/>
              <w:jc w:val="center"/>
              <w:textAlignment w:val="center"/>
              <w:rPr>
                <w:rFonts w:ascii="宋体" w:hAnsi="宋体" w:cs="宋体"/>
                <w:color w:val="auto"/>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4571">
            <w:pPr>
              <w:widowControl/>
              <w:jc w:val="left"/>
              <w:textAlignment w:val="center"/>
              <w:rPr>
                <w:rFonts w:ascii="宋体" w:hAnsi="宋体" w:cs="宋体"/>
                <w:color w:val="auto"/>
              </w:rPr>
            </w:pPr>
            <w:r>
              <w:rPr>
                <w:rFonts w:hint="eastAsia" w:ascii="宋体" w:hAnsi="宋体" w:cs="宋体"/>
                <w:color w:val="auto"/>
                <w:kern w:val="0"/>
                <w:lang w:bidi="ar"/>
              </w:rPr>
              <w:t>医院固定资产管理系统</w:t>
            </w:r>
          </w:p>
        </w:tc>
      </w:tr>
      <w:tr w14:paraId="519C9726">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F977">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C85">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A6B0">
            <w:pPr>
              <w:widowControl/>
              <w:jc w:val="left"/>
              <w:rPr>
                <w:rFonts w:hint="eastAsia" w:ascii="宋体" w:hAnsi="宋体" w:cs="宋体"/>
                <w:color w:val="auto"/>
                <w:kern w:val="0"/>
                <w:lang w:bidi="ar"/>
              </w:rPr>
            </w:pPr>
            <w:r>
              <w:rPr>
                <w:rFonts w:hint="eastAsia" w:ascii="宋体" w:hAnsi="宋体" w:eastAsia="宋体" w:cs="宋体"/>
                <w:color w:val="auto"/>
                <w:kern w:val="0"/>
                <w:szCs w:val="21"/>
                <w14:ligatures w14:val="none"/>
              </w:rPr>
              <w:t>合同管理</w:t>
            </w:r>
          </w:p>
        </w:tc>
      </w:tr>
      <w:tr w14:paraId="32FFE86A">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7ECA">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43A1">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8625">
            <w:pPr>
              <w:widowControl/>
              <w:jc w:val="left"/>
              <w:rPr>
                <w:rFonts w:hint="eastAsia" w:ascii="宋体" w:hAnsi="宋体" w:cs="宋体"/>
                <w:color w:val="auto"/>
                <w:kern w:val="0"/>
                <w:lang w:bidi="ar"/>
              </w:rPr>
            </w:pPr>
            <w:r>
              <w:rPr>
                <w:rFonts w:hint="eastAsia" w:ascii="宋体" w:hAnsi="宋体" w:eastAsia="宋体" w:cs="宋体"/>
                <w:color w:val="auto"/>
                <w:kern w:val="0"/>
                <w:szCs w:val="21"/>
                <w14:ligatures w14:val="none"/>
              </w:rPr>
              <w:t>设备管理</w:t>
            </w:r>
          </w:p>
        </w:tc>
      </w:tr>
      <w:tr w14:paraId="20226053">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7BFA">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4472">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167F">
            <w:pPr>
              <w:widowControl/>
              <w:jc w:val="left"/>
              <w:rPr>
                <w:rFonts w:hint="eastAsia" w:ascii="宋体" w:hAnsi="宋体" w:cs="宋体"/>
                <w:color w:val="auto"/>
                <w:kern w:val="0"/>
                <w:lang w:bidi="ar"/>
              </w:rPr>
            </w:pPr>
            <w:r>
              <w:rPr>
                <w:rFonts w:hint="eastAsia" w:ascii="宋体" w:hAnsi="宋体" w:eastAsia="宋体" w:cs="宋体"/>
                <w:color w:val="auto"/>
                <w:kern w:val="0"/>
                <w:szCs w:val="21"/>
                <w14:ligatures w14:val="none"/>
              </w:rPr>
              <w:t>人力资源管理</w:t>
            </w:r>
          </w:p>
        </w:tc>
      </w:tr>
      <w:tr w14:paraId="39350395">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C20E1C1">
            <w:pPr>
              <w:widowControl/>
              <w:numPr>
                <w:ilvl w:val="0"/>
                <w:numId w:val="5"/>
              </w:numPr>
              <w:jc w:val="left"/>
              <w:textAlignment w:val="center"/>
              <w:rPr>
                <w:rFonts w:ascii="宋体" w:hAnsi="宋体" w:cs="宋体"/>
                <w:color w:val="auto"/>
              </w:rPr>
            </w:pPr>
          </w:p>
        </w:tc>
        <w:tc>
          <w:tcPr>
            <w:tcW w:w="11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18724F">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软件</w:t>
            </w:r>
          </w:p>
        </w:tc>
        <w:tc>
          <w:tcPr>
            <w:tcW w:w="63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3B3717">
            <w:pPr>
              <w:widowControl/>
              <w:jc w:val="left"/>
              <w:rPr>
                <w:rFonts w:hint="eastAsia" w:ascii="宋体" w:hAnsi="宋体" w:cs="宋体"/>
                <w:color w:val="auto"/>
                <w:kern w:val="0"/>
                <w:lang w:bidi="ar"/>
              </w:rPr>
            </w:pPr>
            <w:r>
              <w:rPr>
                <w:rFonts w:hint="eastAsia" w:ascii="宋体" w:hAnsi="宋体" w:eastAsia="宋体" w:cs="宋体"/>
                <w:color w:val="auto"/>
                <w:kern w:val="0"/>
                <w:szCs w:val="21"/>
                <w14:ligatures w14:val="none"/>
              </w:rPr>
              <w:t>物流管理系统升级</w:t>
            </w:r>
          </w:p>
        </w:tc>
      </w:tr>
      <w:tr w14:paraId="5E7131F4">
        <w:tblPrEx>
          <w:tblCellMar>
            <w:top w:w="0" w:type="dxa"/>
            <w:left w:w="108" w:type="dxa"/>
            <w:bottom w:w="0" w:type="dxa"/>
            <w:right w:w="108" w:type="dxa"/>
          </w:tblCellMar>
        </w:tblPrEx>
        <w:trPr>
          <w:trHeight w:val="300" w:hRule="atLeast"/>
        </w:trPr>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D3C56F">
            <w:pPr>
              <w:widowControl/>
              <w:numPr>
                <w:ilvl w:val="0"/>
                <w:numId w:val="5"/>
              </w:numPr>
              <w:jc w:val="left"/>
              <w:textAlignment w:val="center"/>
              <w:rPr>
                <w:rFonts w:ascii="宋体" w:hAnsi="宋体" w:cs="宋体"/>
                <w:color w:val="auto"/>
              </w:rPr>
            </w:pPr>
          </w:p>
        </w:tc>
        <w:tc>
          <w:tcPr>
            <w:tcW w:w="11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3AAD059">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接口</w:t>
            </w:r>
          </w:p>
        </w:tc>
        <w:tc>
          <w:tcPr>
            <w:tcW w:w="634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C698E7">
            <w:pPr>
              <w:widowControl/>
              <w:jc w:val="left"/>
              <w:rPr>
                <w:rFonts w:hint="eastAsia" w:ascii="宋体" w:hAnsi="宋体" w:cs="宋体"/>
                <w:color w:val="auto"/>
                <w:kern w:val="0"/>
              </w:rPr>
            </w:pPr>
            <w:r>
              <w:rPr>
                <w:rFonts w:hint="eastAsia" w:ascii="宋体" w:hAnsi="宋体" w:cs="宋体"/>
                <w:color w:val="auto"/>
                <w:kern w:val="0"/>
              </w:rPr>
              <w:t>HRP系统与CA集成接口开发</w:t>
            </w:r>
          </w:p>
        </w:tc>
      </w:tr>
      <w:tr w14:paraId="47163D93">
        <w:tblPrEx>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EF48">
            <w:pPr>
              <w:widowControl/>
              <w:numPr>
                <w:ilvl w:val="0"/>
                <w:numId w:val="5"/>
              </w:numPr>
              <w:ind w:left="0" w:leftChars="0" w:firstLine="403" w:firstLineChars="0"/>
              <w:jc w:val="left"/>
              <w:textAlignment w:val="center"/>
              <w:rPr>
                <w:rFonts w:ascii="宋体" w:hAnsi="宋体" w:cs="宋体"/>
                <w:color w:val="auto"/>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B57A">
            <w:pPr>
              <w:widowControl/>
              <w:jc w:val="center"/>
              <w:textAlignment w:val="center"/>
              <w:rPr>
                <w:rFonts w:hint="eastAsia" w:ascii="宋体" w:hAnsi="宋体" w:cs="宋体"/>
                <w:color w:val="auto"/>
                <w:kern w:val="0"/>
                <w:lang w:bidi="ar"/>
              </w:rPr>
            </w:pPr>
            <w:r>
              <w:rPr>
                <w:rFonts w:hint="eastAsia" w:ascii="宋体" w:hAnsi="宋体" w:cs="宋体"/>
                <w:color w:val="auto"/>
                <w:kern w:val="0"/>
                <w:lang w:bidi="ar"/>
              </w:rPr>
              <w:t>接口</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8ECC">
            <w:pPr>
              <w:widowControl/>
              <w:jc w:val="left"/>
              <w:rPr>
                <w:rFonts w:hint="eastAsia" w:ascii="宋体" w:hAnsi="宋体" w:eastAsia="宋体" w:cs="宋体"/>
                <w:color w:val="auto"/>
                <w:kern w:val="0"/>
                <w:szCs w:val="21"/>
                <w14:ligatures w14:val="none"/>
              </w:rPr>
            </w:pPr>
            <w:r>
              <w:rPr>
                <w:rFonts w:hint="eastAsia" w:ascii="宋体" w:hAnsi="宋体" w:eastAsia="宋体" w:cs="宋体"/>
                <w:color w:val="auto"/>
                <w:kern w:val="0"/>
                <w:szCs w:val="21"/>
                <w14:ligatures w14:val="none"/>
              </w:rPr>
              <w:t>HRP系统与集成平台接口开发</w:t>
            </w:r>
          </w:p>
        </w:tc>
      </w:tr>
    </w:tbl>
    <w:p w14:paraId="203F1521">
      <w:pPr>
        <w:spacing w:line="360" w:lineRule="auto"/>
        <w:rPr>
          <w:rFonts w:ascii="宋体" w:hAnsi="宋体" w:cs="宋体"/>
          <w:color w:val="auto"/>
        </w:rPr>
      </w:pPr>
    </w:p>
    <w:p w14:paraId="09B1EFB3">
      <w:pPr>
        <w:pStyle w:val="2"/>
        <w:numPr>
          <w:ilvl w:val="0"/>
          <w:numId w:val="4"/>
        </w:numPr>
        <w:spacing w:before="0" w:after="0" w:line="360" w:lineRule="auto"/>
        <w:jc w:val="left"/>
        <w:rPr>
          <w:rFonts w:ascii="宋体" w:hAnsi="宋体" w:cs="宋体"/>
          <w:color w:val="auto"/>
          <w:sz w:val="32"/>
          <w:szCs w:val="32"/>
        </w:rPr>
      </w:pPr>
      <w:bookmarkStart w:id="23" w:name="_Toc32647"/>
      <w:bookmarkStart w:id="24" w:name="_Toc17493"/>
      <w:bookmarkStart w:id="25" w:name="_Toc14503"/>
      <w:bookmarkStart w:id="26" w:name="_Toc198885031"/>
      <w:bookmarkStart w:id="27" w:name="_Toc6454"/>
      <w:r>
        <w:rPr>
          <w:rFonts w:hint="eastAsia" w:ascii="宋体" w:hAnsi="宋体" w:cs="宋体"/>
          <w:color w:val="auto"/>
          <w:sz w:val="32"/>
          <w:szCs w:val="32"/>
        </w:rPr>
        <w:t>项目建设功能需求</w:t>
      </w:r>
      <w:bookmarkEnd w:id="23"/>
      <w:bookmarkEnd w:id="24"/>
      <w:bookmarkEnd w:id="25"/>
      <w:bookmarkEnd w:id="26"/>
      <w:bookmarkEnd w:id="27"/>
    </w:p>
    <w:p w14:paraId="3DBE998B">
      <w:pPr>
        <w:spacing w:line="360" w:lineRule="auto"/>
        <w:rPr>
          <w:rFonts w:ascii="宋体" w:hAnsi="宋体" w:cs="宋体"/>
          <w:color w:val="auto"/>
        </w:rPr>
      </w:pPr>
      <w:bookmarkStart w:id="28" w:name="_Toc509510505"/>
    </w:p>
    <w:p w14:paraId="06CCDCF4">
      <w:pPr>
        <w:pStyle w:val="3"/>
        <w:numPr>
          <w:ilvl w:val="-1"/>
          <w:numId w:val="0"/>
        </w:numPr>
        <w:spacing w:line="360" w:lineRule="auto"/>
        <w:ind w:left="0" w:firstLine="0"/>
        <w:rPr>
          <w:rFonts w:ascii="宋体" w:hAnsi="宋体" w:cs="宋体"/>
          <w:color w:val="auto"/>
          <w:sz w:val="21"/>
          <w:szCs w:val="21"/>
        </w:rPr>
      </w:pPr>
      <w:bookmarkStart w:id="29" w:name="_Toc30876"/>
      <w:bookmarkStart w:id="30" w:name="_Toc22980"/>
      <w:bookmarkStart w:id="31" w:name="_Toc198885032"/>
      <w:bookmarkStart w:id="32" w:name="_Toc17839"/>
      <w:bookmarkStart w:id="33" w:name="_Toc14541"/>
      <w:r>
        <w:rPr>
          <w:rFonts w:hint="eastAsia" w:ascii="宋体" w:hAnsi="宋体" w:cs="宋体"/>
          <w:color w:val="auto"/>
          <w:sz w:val="21"/>
          <w:szCs w:val="21"/>
          <w:lang w:val="en-US" w:eastAsia="zh-CN"/>
        </w:rPr>
        <w:t xml:space="preserve">4.1 </w:t>
      </w:r>
      <w:r>
        <w:rPr>
          <w:rFonts w:hint="eastAsia" w:ascii="宋体" w:hAnsi="宋体" w:cs="宋体"/>
          <w:color w:val="auto"/>
          <w:sz w:val="21"/>
          <w:szCs w:val="21"/>
        </w:rPr>
        <w:t>业务基础平台</w:t>
      </w:r>
      <w:bookmarkEnd w:id="29"/>
      <w:bookmarkEnd w:id="30"/>
      <w:bookmarkEnd w:id="31"/>
      <w:bookmarkEnd w:id="32"/>
      <w:bookmarkEnd w:id="33"/>
    </w:p>
    <w:p w14:paraId="2BF8F78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4.1.1. 系统设置</w:t>
      </w:r>
    </w:p>
    <w:p w14:paraId="27800D26">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1）系统参数：对系统内各编码规则进行设置、说明、查询及修改。</w:t>
      </w:r>
    </w:p>
    <w:p w14:paraId="6456E09D">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2）系统联用：对各系统间是否联用进行设置，便于系统间集成和控制。</w:t>
      </w:r>
    </w:p>
    <w:p w14:paraId="01A6BB9A">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3）字典自定义验证：设置系统内各字典验证规则的启用和禁用。</w:t>
      </w:r>
    </w:p>
    <w:p w14:paraId="057D2405">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4）参数设置：对单位参数、单据号、自动编码规则等进行设置。</w:t>
      </w:r>
    </w:p>
    <w:p w14:paraId="0EB13C22">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4.1.2 系统字典</w:t>
      </w:r>
    </w:p>
    <w:p w14:paraId="00C85268">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1）会计科目体系：支持多种会计科目体系。</w:t>
      </w:r>
    </w:p>
    <w:p w14:paraId="404E4210">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2）职工属性：对职工的各类属性字典进行维护，包括：学历、学位、政治面貌、职称、职级等。</w:t>
      </w:r>
    </w:p>
    <w:p w14:paraId="77EC2B04">
      <w:pPr>
        <w:spacing w:line="360" w:lineRule="auto"/>
        <w:ind w:firstLine="424" w:firstLineChars="202"/>
        <w:rPr>
          <w:rFonts w:ascii="宋体" w:hAnsi="宋体"/>
          <w:color w:val="auto"/>
        </w:rPr>
      </w:pPr>
      <w:r>
        <w:rPr>
          <w:rFonts w:hint="eastAsia" w:ascii="宋体" w:hAnsi="宋体"/>
          <w:color w:val="auto"/>
        </w:rPr>
        <w:t>（3</w:t>
      </w:r>
      <w:r>
        <w:rPr>
          <w:rFonts w:ascii="宋体" w:hAnsi="宋体"/>
          <w:color w:val="auto"/>
        </w:rPr>
        <w:t>）政府收支分类：内置支出功能分类字典和支出经济分类字典。</w:t>
      </w:r>
    </w:p>
    <w:p w14:paraId="0FCFD07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4.1.3 医院字典管理</w:t>
      </w:r>
    </w:p>
    <w:p w14:paraId="42F8613B">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1）账套管理：支持医院账套和会计期间的维护。</w:t>
      </w:r>
    </w:p>
    <w:p w14:paraId="6930028D">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2）组织架构体系：支持包括部门类型、部门、院区、虚拟部门业务关系等的维护。</w:t>
      </w:r>
    </w:p>
    <w:p w14:paraId="2F2E403D">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3）职工信息：支持医院内职工类别和职工信息的维护。</w:t>
      </w:r>
    </w:p>
    <w:p w14:paraId="3981C3F9">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4）收入信息：支持收入项目、收费类别、收费项目等的维护。</w:t>
      </w:r>
    </w:p>
    <w:p w14:paraId="4169B9BC">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5）成本信息：支持对成本项目、成本要素的维护。</w:t>
      </w:r>
    </w:p>
    <w:p w14:paraId="52D0844F">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6）物资信息：支持对物资字典、物资分类、物资财务分类、物资卫健委分类等的维护。</w:t>
      </w:r>
    </w:p>
    <w:p w14:paraId="0A641314">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7）资产信息：支持对资产分类、资产财务分类、资产字典的维护。</w:t>
      </w:r>
    </w:p>
    <w:p w14:paraId="221B86C1">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8）供应商信息：支持对供应商分类、供应商字典、供应商名称变更、证件分类、变更审核等的维护。</w:t>
      </w:r>
    </w:p>
    <w:p w14:paraId="38341F7A">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9）基础字典：支持对银行信息、客户信息、仓库信息、资金来源、结算信息、送货地址等的维护。</w:t>
      </w:r>
    </w:p>
    <w:p w14:paraId="16661F2B">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4.1.4 系统管理平台</w:t>
      </w:r>
    </w:p>
    <w:p w14:paraId="247A5FB2">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1）用户权限管理：支持对用户、角色、按钮权限、用户权限、角色权限、数据权限等的维护。</w:t>
      </w:r>
    </w:p>
    <w:p w14:paraId="4029AC34">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2）业务日志：提供用户操作日志的自动记录和查询功能。</w:t>
      </w:r>
    </w:p>
    <w:p w14:paraId="50D3DA5B">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3）任务调度：支持对系统自动任务的定时设置及查看追踪。</w:t>
      </w:r>
    </w:p>
    <w:p w14:paraId="2FA9873D">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4.1.5 应用建模平台</w:t>
      </w:r>
    </w:p>
    <w:p w14:paraId="5617FBA7">
      <w:pPr>
        <w:spacing w:line="360" w:lineRule="auto"/>
        <w:ind w:firstLine="424" w:firstLineChars="202"/>
        <w:rPr>
          <w:rFonts w:ascii="宋体" w:hAnsi="宋体"/>
          <w:color w:val="auto"/>
        </w:rPr>
      </w:pPr>
      <w:r>
        <w:rPr>
          <w:rFonts w:hint="eastAsia" w:ascii="宋体" w:hAnsi="宋体"/>
          <w:color w:val="auto"/>
        </w:rPr>
        <w:t>（1</w:t>
      </w:r>
      <w:r>
        <w:rPr>
          <w:rFonts w:ascii="宋体" w:hAnsi="宋体"/>
          <w:color w:val="auto"/>
        </w:rPr>
        <w:t>）流程平台：支持对各系统审批流程的自定义设置，满足医院相关业务应用的个性化流程审批管理要求。</w:t>
      </w:r>
    </w:p>
    <w:p w14:paraId="29C61D9B">
      <w:pPr>
        <w:spacing w:line="360" w:lineRule="auto"/>
        <w:ind w:firstLine="424" w:firstLineChars="202"/>
        <w:rPr>
          <w:rFonts w:ascii="宋体" w:hAnsi="宋体"/>
          <w:color w:val="auto"/>
        </w:rPr>
      </w:pPr>
      <w:r>
        <w:rPr>
          <w:rFonts w:hint="eastAsia" w:ascii="宋体" w:hAnsi="宋体"/>
          <w:color w:val="auto"/>
        </w:rPr>
        <w:t>（2</w:t>
      </w:r>
      <w:r>
        <w:rPr>
          <w:rFonts w:ascii="宋体" w:hAnsi="宋体"/>
          <w:color w:val="auto"/>
        </w:rPr>
        <w:t>）打印模板管理：提供打印模板的定义设计、修改、删除功能。</w:t>
      </w:r>
    </w:p>
    <w:p w14:paraId="11113460">
      <w:pPr>
        <w:rPr>
          <w:color w:val="auto"/>
        </w:rPr>
      </w:pPr>
    </w:p>
    <w:p w14:paraId="6F095B45">
      <w:pPr>
        <w:pStyle w:val="3"/>
        <w:numPr>
          <w:ilvl w:val="-1"/>
          <w:numId w:val="0"/>
        </w:numPr>
        <w:spacing w:line="360" w:lineRule="auto"/>
        <w:ind w:left="0" w:firstLine="0"/>
        <w:rPr>
          <w:rFonts w:ascii="宋体" w:hAnsi="宋体" w:cs="宋体"/>
          <w:color w:val="auto"/>
          <w:sz w:val="21"/>
          <w:szCs w:val="21"/>
        </w:rPr>
      </w:pPr>
      <w:bookmarkStart w:id="34" w:name="_Toc198885033"/>
      <w:bookmarkStart w:id="35" w:name="_Toc109"/>
      <w:bookmarkStart w:id="36" w:name="_Toc11274"/>
      <w:bookmarkStart w:id="37" w:name="_Toc11016"/>
      <w:bookmarkStart w:id="38" w:name="_Toc118"/>
      <w:r>
        <w:rPr>
          <w:rFonts w:hint="eastAsia" w:ascii="宋体" w:hAnsi="宋体" w:cs="宋体"/>
          <w:color w:val="auto"/>
          <w:sz w:val="21"/>
          <w:szCs w:val="21"/>
          <w:lang w:val="en-US" w:eastAsia="zh-CN"/>
        </w:rPr>
        <w:t xml:space="preserve">4.2 </w:t>
      </w:r>
      <w:r>
        <w:rPr>
          <w:rFonts w:hint="eastAsia" w:ascii="宋体" w:hAnsi="宋体" w:cs="宋体"/>
          <w:color w:val="auto"/>
          <w:sz w:val="21"/>
          <w:szCs w:val="21"/>
        </w:rPr>
        <w:t>医院财务会计管理系统</w:t>
      </w:r>
      <w:bookmarkEnd w:id="34"/>
      <w:bookmarkEnd w:id="35"/>
      <w:bookmarkEnd w:id="36"/>
      <w:bookmarkEnd w:id="37"/>
      <w:bookmarkEnd w:id="38"/>
    </w:p>
    <w:p w14:paraId="6BE59957">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4.2.1 总账管理</w:t>
      </w:r>
    </w:p>
    <w:p w14:paraId="0C2FD207">
      <w:pPr>
        <w:spacing w:line="360" w:lineRule="auto"/>
        <w:ind w:firstLine="420" w:firstLineChars="200"/>
        <w:rPr>
          <w:rFonts w:ascii="宋体" w:hAnsi="宋体"/>
          <w:color w:val="auto"/>
        </w:rPr>
      </w:pPr>
      <w:r>
        <w:rPr>
          <w:rFonts w:hint="eastAsia" w:ascii="宋体" w:hAnsi="宋体"/>
          <w:color w:val="auto"/>
        </w:rPr>
        <w:t>总账管理实现记录医院发生的各种经济业务在账务上反映的全部内容，从账务处理所需初始信息，到凭证录入、签字、审核、记账，以及各种辅助核算账信息的输入和输出，包括现金流量核算、部门核算、职工核算、供应商核算等。</w:t>
      </w:r>
    </w:p>
    <w:p w14:paraId="2221CA41">
      <w:pPr>
        <w:spacing w:line="360" w:lineRule="auto"/>
        <w:rPr>
          <w:rFonts w:ascii="宋体" w:hAnsi="宋体"/>
          <w:color w:val="auto"/>
        </w:rPr>
      </w:pPr>
      <w:r>
        <w:rPr>
          <w:rFonts w:ascii="宋体" w:hAnsi="宋体"/>
          <w:color w:val="auto"/>
        </w:rPr>
        <w:t>(1)凭证平台</w:t>
      </w:r>
    </w:p>
    <w:p w14:paraId="09B73E6A">
      <w:pPr>
        <w:spacing w:line="360" w:lineRule="auto"/>
        <w:ind w:firstLine="424" w:firstLineChars="202"/>
        <w:rPr>
          <w:rFonts w:ascii="宋体" w:hAnsi="宋体"/>
          <w:color w:val="auto"/>
        </w:rPr>
      </w:pPr>
      <w:r>
        <w:rPr>
          <w:rFonts w:hint="eastAsia" w:ascii="宋体" w:hAnsi="宋体"/>
          <w:color w:val="auto"/>
        </w:rPr>
        <w:t>提供凭证多种方式录入功能：手工录入凭证、按照凭证模板生成凭证、草稿凭证生成凭证。在政府会计制度体系下支持财务会计、预算会计平行记账，快捷键快速切换页面布局，财务会计与预算会计上下展现、左右展现、双页签展现。支持在进行科目对应的场景下，保存凭证自动校验匹配预算会计分录。</w:t>
      </w:r>
    </w:p>
    <w:p w14:paraId="6B9BBC0E">
      <w:pPr>
        <w:spacing w:line="360" w:lineRule="auto"/>
        <w:ind w:firstLine="424" w:firstLineChars="202"/>
        <w:rPr>
          <w:rFonts w:ascii="宋体" w:hAnsi="宋体"/>
          <w:color w:val="auto"/>
        </w:rPr>
      </w:pPr>
      <w:r>
        <w:rPr>
          <w:rFonts w:hint="eastAsia" w:ascii="宋体" w:hAnsi="宋体"/>
          <w:color w:val="auto"/>
        </w:rPr>
        <w:t>在凭证查看过程中提供凭证作废、导出、删除、冲销、整理的操作功能。</w:t>
      </w:r>
    </w:p>
    <w:p w14:paraId="0C9FA061">
      <w:pPr>
        <w:spacing w:line="360" w:lineRule="auto"/>
        <w:ind w:firstLine="424" w:firstLineChars="202"/>
        <w:rPr>
          <w:rFonts w:ascii="宋体" w:hAnsi="宋体"/>
          <w:color w:val="auto"/>
        </w:rPr>
      </w:pPr>
      <w:r>
        <w:rPr>
          <w:rFonts w:hint="eastAsia" w:ascii="宋体" w:hAnsi="宋体"/>
          <w:color w:val="auto"/>
        </w:rPr>
        <w:t>支持设置凭证模板模式，在设置凭证模板中支持根据使用范围设置为公用模板、私用模板，按照模板使用适用的业务类型为日常模板、月结模板、年结模板。</w:t>
      </w:r>
    </w:p>
    <w:p w14:paraId="4EC04EC9">
      <w:pPr>
        <w:spacing w:line="360" w:lineRule="auto"/>
        <w:ind w:firstLine="424" w:firstLineChars="202"/>
        <w:rPr>
          <w:rFonts w:ascii="宋体" w:hAnsi="宋体"/>
          <w:color w:val="auto"/>
        </w:rPr>
      </w:pPr>
      <w:r>
        <w:rPr>
          <w:rFonts w:hint="eastAsia" w:ascii="宋体" w:hAnsi="宋体"/>
          <w:color w:val="auto"/>
        </w:rPr>
        <w:t>支持现金流量实时标注和批量标注。</w:t>
      </w:r>
    </w:p>
    <w:p w14:paraId="514C7AAF">
      <w:pPr>
        <w:spacing w:line="360" w:lineRule="auto"/>
        <w:ind w:firstLine="424" w:firstLineChars="202"/>
        <w:rPr>
          <w:rFonts w:ascii="宋体" w:hAnsi="宋体"/>
          <w:color w:val="auto"/>
        </w:rPr>
      </w:pPr>
      <w:r>
        <w:rPr>
          <w:rFonts w:hint="eastAsia" w:ascii="宋体" w:hAnsi="宋体"/>
          <w:color w:val="auto"/>
        </w:rPr>
        <w:t>支持凭证单个和批量审核。</w:t>
      </w:r>
    </w:p>
    <w:p w14:paraId="6DE6FA82">
      <w:pPr>
        <w:spacing w:line="360" w:lineRule="auto"/>
        <w:ind w:firstLine="424" w:firstLineChars="202"/>
        <w:rPr>
          <w:rFonts w:ascii="宋体" w:hAnsi="宋体"/>
          <w:color w:val="auto"/>
        </w:rPr>
      </w:pPr>
      <w:r>
        <w:rPr>
          <w:rFonts w:hint="eastAsia" w:ascii="宋体" w:hAnsi="宋体"/>
          <w:color w:val="auto"/>
        </w:rPr>
        <w:t>支持凭证按期间批量记账。</w:t>
      </w:r>
    </w:p>
    <w:p w14:paraId="03EB8AFE">
      <w:pPr>
        <w:spacing w:line="360" w:lineRule="auto"/>
        <w:ind w:firstLine="424" w:firstLineChars="202"/>
        <w:rPr>
          <w:rFonts w:ascii="宋体" w:hAnsi="宋体"/>
          <w:color w:val="auto"/>
        </w:rPr>
      </w:pPr>
      <w:r>
        <w:rPr>
          <w:rFonts w:hint="eastAsia" w:ascii="宋体" w:hAnsi="宋体"/>
          <w:color w:val="auto"/>
        </w:rPr>
        <w:t>支持凭证汇总表，选择汇总范围进行汇总并统计。</w:t>
      </w:r>
    </w:p>
    <w:p w14:paraId="7075FD26">
      <w:pPr>
        <w:spacing w:line="360" w:lineRule="auto"/>
        <w:ind w:firstLine="424" w:firstLineChars="202"/>
        <w:rPr>
          <w:rFonts w:ascii="宋体" w:hAnsi="宋体"/>
          <w:color w:val="auto"/>
        </w:rPr>
      </w:pPr>
      <w:r>
        <w:rPr>
          <w:rFonts w:hint="eastAsia" w:ascii="宋体" w:hAnsi="宋体"/>
          <w:color w:val="auto"/>
        </w:rPr>
        <w:t>支持差异项目自动标注和查询。</w:t>
      </w:r>
    </w:p>
    <w:p w14:paraId="2CF7BA4C">
      <w:pPr>
        <w:spacing w:line="360" w:lineRule="auto"/>
        <w:ind w:firstLine="424" w:firstLineChars="202"/>
        <w:rPr>
          <w:rFonts w:ascii="宋体" w:hAnsi="宋体"/>
          <w:color w:val="auto"/>
        </w:rPr>
      </w:pPr>
      <w:r>
        <w:rPr>
          <w:rFonts w:hint="eastAsia" w:ascii="宋体" w:hAnsi="宋体"/>
          <w:color w:val="auto"/>
        </w:rPr>
        <w:t>支持凭证批量打，套打、自定义打印。</w:t>
      </w:r>
    </w:p>
    <w:p w14:paraId="2732D93A">
      <w:pPr>
        <w:spacing w:line="360" w:lineRule="auto"/>
        <w:ind w:firstLine="424" w:firstLineChars="202"/>
        <w:rPr>
          <w:rFonts w:ascii="宋体" w:hAnsi="宋体"/>
          <w:color w:val="auto"/>
        </w:rPr>
      </w:pPr>
      <w:r>
        <w:rPr>
          <w:rFonts w:hint="eastAsia" w:ascii="宋体" w:hAnsi="宋体"/>
          <w:color w:val="auto"/>
        </w:rPr>
        <w:t>支持凭证分册，按照分册范围统计分册科目发生额，以便凭证装订。</w:t>
      </w:r>
    </w:p>
    <w:p w14:paraId="2EDB57A6">
      <w:pPr>
        <w:spacing w:line="360" w:lineRule="auto"/>
        <w:ind w:firstLine="424" w:firstLineChars="202"/>
        <w:rPr>
          <w:rFonts w:ascii="宋体" w:hAnsi="宋体"/>
          <w:color w:val="auto"/>
        </w:rPr>
      </w:pPr>
      <w:r>
        <w:rPr>
          <w:rFonts w:hint="eastAsia" w:ascii="宋体" w:hAnsi="宋体"/>
          <w:color w:val="auto"/>
        </w:rPr>
        <w:t>支持电子发票登记查重功能。</w:t>
      </w:r>
    </w:p>
    <w:p w14:paraId="7B676791">
      <w:pPr>
        <w:spacing w:line="360" w:lineRule="auto"/>
        <w:rPr>
          <w:rFonts w:ascii="宋体" w:hAnsi="宋体"/>
          <w:color w:val="auto"/>
        </w:rPr>
      </w:pPr>
      <w:r>
        <w:rPr>
          <w:rFonts w:ascii="宋体" w:hAnsi="宋体"/>
          <w:color w:val="auto"/>
        </w:rPr>
        <w:t>(2) 账簿</w:t>
      </w:r>
    </w:p>
    <w:p w14:paraId="65FC169D">
      <w:pPr>
        <w:spacing w:line="360" w:lineRule="auto"/>
        <w:ind w:firstLine="424" w:firstLineChars="202"/>
        <w:rPr>
          <w:rFonts w:ascii="宋体" w:hAnsi="宋体"/>
          <w:color w:val="auto"/>
        </w:rPr>
      </w:pPr>
      <w:r>
        <w:rPr>
          <w:rFonts w:hint="eastAsia" w:ascii="宋体" w:hAnsi="宋体"/>
          <w:color w:val="auto"/>
        </w:rPr>
        <w:t>支持科目总账、余额、明细账的查询，查询条件可以保存为方案方便多次查询，科目总账、余额、明细账支持相互穿透查询。</w:t>
      </w:r>
    </w:p>
    <w:p w14:paraId="32A71EA9">
      <w:pPr>
        <w:spacing w:line="360" w:lineRule="auto"/>
        <w:ind w:firstLine="424" w:firstLineChars="202"/>
        <w:rPr>
          <w:rFonts w:ascii="宋体" w:hAnsi="宋体"/>
          <w:color w:val="auto"/>
        </w:rPr>
      </w:pPr>
      <w:r>
        <w:rPr>
          <w:rFonts w:hint="eastAsia" w:ascii="宋体" w:hAnsi="宋体"/>
          <w:color w:val="auto"/>
        </w:rPr>
        <w:t>支持辅助账总账、余额、明细账的查询，查询条件可以保存为方案方便多次查询，支持多辅助项联合查询，辅助账总账、余额、明细账支持相互穿透查询。</w:t>
      </w:r>
    </w:p>
    <w:p w14:paraId="7ACC83F9">
      <w:pPr>
        <w:spacing w:line="360" w:lineRule="auto"/>
        <w:ind w:firstLine="424" w:firstLineChars="202"/>
        <w:rPr>
          <w:rFonts w:ascii="宋体" w:hAnsi="宋体"/>
          <w:color w:val="auto"/>
        </w:rPr>
      </w:pPr>
      <w:r>
        <w:rPr>
          <w:rFonts w:hint="eastAsia" w:ascii="宋体" w:hAnsi="宋体"/>
          <w:color w:val="auto"/>
        </w:rPr>
        <w:t>支持账簿打印。</w:t>
      </w:r>
    </w:p>
    <w:p w14:paraId="1E6351D0">
      <w:pPr>
        <w:spacing w:line="360" w:lineRule="auto"/>
        <w:rPr>
          <w:rFonts w:ascii="宋体" w:hAnsi="宋体"/>
          <w:color w:val="auto"/>
        </w:rPr>
      </w:pPr>
      <w:r>
        <w:rPr>
          <w:rFonts w:ascii="宋体" w:hAnsi="宋体"/>
          <w:color w:val="auto"/>
        </w:rPr>
        <w:t>(3)期末处理</w:t>
      </w:r>
    </w:p>
    <w:p w14:paraId="7EB5A7B9">
      <w:pPr>
        <w:spacing w:line="360" w:lineRule="auto"/>
        <w:ind w:firstLine="420" w:firstLineChars="200"/>
        <w:rPr>
          <w:rFonts w:ascii="宋体" w:hAnsi="宋体"/>
          <w:color w:val="auto"/>
        </w:rPr>
      </w:pPr>
      <w:r>
        <w:rPr>
          <w:rFonts w:hint="eastAsia" w:ascii="宋体" w:hAnsi="宋体"/>
          <w:color w:val="auto"/>
        </w:rPr>
        <w:t>支持财务会计、预算会计期末处理。</w:t>
      </w:r>
    </w:p>
    <w:p w14:paraId="07914C43">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4.2.2 现金管理</w:t>
      </w:r>
    </w:p>
    <w:p w14:paraId="79E6C215">
      <w:pPr>
        <w:spacing w:line="360" w:lineRule="auto"/>
        <w:ind w:firstLine="424" w:firstLineChars="202"/>
        <w:rPr>
          <w:rFonts w:ascii="宋体" w:hAnsi="宋体"/>
          <w:color w:val="auto"/>
        </w:rPr>
      </w:pPr>
      <w:r>
        <w:rPr>
          <w:rFonts w:hint="eastAsia" w:ascii="宋体" w:hAnsi="宋体"/>
          <w:color w:val="auto"/>
        </w:rPr>
        <w:t>具体包括：出纳登记账、出纳对账、银行对账功能。</w:t>
      </w:r>
    </w:p>
    <w:p w14:paraId="74CA322D">
      <w:pPr>
        <w:spacing w:line="360" w:lineRule="auto"/>
        <w:ind w:firstLine="424" w:firstLineChars="202"/>
        <w:rPr>
          <w:rFonts w:ascii="宋体" w:hAnsi="宋体"/>
          <w:color w:val="auto"/>
        </w:rPr>
      </w:pPr>
      <w:r>
        <w:rPr>
          <w:rFonts w:hint="eastAsia" w:ascii="宋体" w:hAnsi="宋体"/>
          <w:color w:val="auto"/>
        </w:rPr>
        <w:t>支持出纳账登记，登记现金和银行账。</w:t>
      </w:r>
    </w:p>
    <w:p w14:paraId="11BE428B">
      <w:pPr>
        <w:spacing w:line="360" w:lineRule="auto"/>
        <w:ind w:firstLine="424" w:firstLineChars="202"/>
        <w:rPr>
          <w:rFonts w:ascii="宋体" w:hAnsi="宋体"/>
          <w:color w:val="auto"/>
        </w:rPr>
      </w:pPr>
      <w:r>
        <w:rPr>
          <w:rFonts w:hint="eastAsia" w:ascii="宋体" w:hAnsi="宋体"/>
          <w:color w:val="auto"/>
        </w:rPr>
        <w:t>支持出纳对账以及对账结果查询。</w:t>
      </w:r>
    </w:p>
    <w:p w14:paraId="3ED27919">
      <w:pPr>
        <w:spacing w:line="360" w:lineRule="auto"/>
        <w:ind w:firstLine="424" w:firstLineChars="202"/>
        <w:rPr>
          <w:rFonts w:ascii="宋体" w:hAnsi="宋体"/>
          <w:color w:val="auto"/>
        </w:rPr>
      </w:pPr>
      <w:r>
        <w:rPr>
          <w:rFonts w:hint="eastAsia" w:ascii="宋体" w:hAnsi="宋体"/>
          <w:color w:val="auto"/>
        </w:rPr>
        <w:t>支持银行对账，银行对账结果查询并生成余额调节表。</w:t>
      </w:r>
    </w:p>
    <w:p w14:paraId="7DEC15A9">
      <w:pPr>
        <w:spacing w:line="360" w:lineRule="auto"/>
        <w:ind w:firstLine="424" w:firstLineChars="202"/>
        <w:rPr>
          <w:rFonts w:ascii="宋体" w:hAnsi="宋体"/>
          <w:color w:val="auto"/>
        </w:rPr>
      </w:pPr>
      <w:r>
        <w:rPr>
          <w:rFonts w:hint="eastAsia" w:ascii="宋体" w:hAnsi="宋体"/>
          <w:color w:val="auto"/>
        </w:rPr>
        <w:t>支持支票的登记、领用、核销、作废功能，以及支票簿的查询功能，</w:t>
      </w:r>
    </w:p>
    <w:p w14:paraId="0183F1C0">
      <w:pPr>
        <w:spacing w:line="360" w:lineRule="auto"/>
        <w:ind w:firstLine="424" w:firstLineChars="202"/>
        <w:rPr>
          <w:rFonts w:ascii="宋体" w:hAnsi="宋体"/>
          <w:color w:val="auto"/>
        </w:rPr>
      </w:pPr>
      <w:r>
        <w:rPr>
          <w:rFonts w:hint="eastAsia" w:ascii="宋体" w:hAnsi="宋体"/>
          <w:color w:val="auto"/>
        </w:rPr>
        <w:t>支持凭证自动关联支票打印功能，自动读取供应商、金额等信息到支票打印；</w:t>
      </w:r>
    </w:p>
    <w:p w14:paraId="628DA2E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w:t>
      </w:r>
      <w:r>
        <w:rPr>
          <w:rFonts w:hint="eastAsia" w:ascii="宋体" w:hAnsi="宋体"/>
          <w:b/>
          <w:bCs/>
          <w:color w:val="auto"/>
          <w:sz w:val="21"/>
          <w:szCs w:val="22"/>
          <w:lang w:eastAsia="zh-CN"/>
        </w:rPr>
        <w:t>.2.3报表管理</w:t>
      </w:r>
    </w:p>
    <w:p w14:paraId="66A39D3E">
      <w:pPr>
        <w:spacing w:line="360" w:lineRule="auto"/>
        <w:ind w:firstLine="420" w:firstLineChars="200"/>
        <w:rPr>
          <w:rFonts w:ascii="宋体" w:hAnsi="宋体"/>
          <w:color w:val="auto"/>
        </w:rPr>
      </w:pPr>
      <w:r>
        <w:rPr>
          <w:rFonts w:hint="eastAsia" w:ascii="宋体" w:hAnsi="宋体"/>
          <w:color w:val="auto"/>
        </w:rPr>
        <w:t>按照财政部门和行业主管单位、本单位的需要而规定的格式化的报表，如资产负债表、收入费用总表、医疗收入费用明细表、现金流量表、本年盈余与预算结余的差异情况表、医疗活动收入费用明细表、预算收入支出表、业务收入费用表、净资产变动表、预算结转结余变动表等。</w:t>
      </w:r>
    </w:p>
    <w:p w14:paraId="51D69E75">
      <w:pPr>
        <w:spacing w:line="360" w:lineRule="auto"/>
        <w:ind w:firstLine="420" w:firstLineChars="200"/>
        <w:rPr>
          <w:rFonts w:ascii="宋体" w:hAnsi="宋体"/>
          <w:color w:val="auto"/>
        </w:rPr>
      </w:pPr>
      <w:r>
        <w:rPr>
          <w:rFonts w:hint="eastAsia" w:ascii="宋体" w:hAnsi="宋体"/>
          <w:color w:val="auto"/>
        </w:rPr>
        <w:t>支持自由定制报表的格式、类型，自动生成报表。</w:t>
      </w:r>
    </w:p>
    <w:p w14:paraId="7F93D42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w:t>
      </w:r>
      <w:r>
        <w:rPr>
          <w:rFonts w:hint="eastAsia" w:ascii="宋体" w:hAnsi="宋体"/>
          <w:b/>
          <w:bCs/>
          <w:color w:val="auto"/>
          <w:sz w:val="21"/>
          <w:szCs w:val="22"/>
          <w:lang w:eastAsia="zh-CN"/>
        </w:rPr>
        <w:t>.2.4 基础设置</w:t>
      </w:r>
    </w:p>
    <w:p w14:paraId="3CB0A9B4">
      <w:pPr>
        <w:spacing w:line="360" w:lineRule="auto"/>
        <w:ind w:firstLine="420" w:firstLineChars="200"/>
        <w:rPr>
          <w:rFonts w:ascii="宋体" w:hAnsi="宋体"/>
          <w:color w:val="auto"/>
        </w:rPr>
      </w:pPr>
      <w:r>
        <w:rPr>
          <w:rFonts w:hint="eastAsia" w:ascii="宋体" w:hAnsi="宋体"/>
          <w:color w:val="auto"/>
        </w:rPr>
        <w:t>支持会计科目设置，满足政府会计明细核算要求。</w:t>
      </w:r>
    </w:p>
    <w:p w14:paraId="082D881A">
      <w:pPr>
        <w:spacing w:line="360" w:lineRule="auto"/>
        <w:ind w:firstLine="420" w:firstLineChars="200"/>
        <w:rPr>
          <w:rFonts w:ascii="宋体" w:hAnsi="宋体"/>
          <w:color w:val="auto"/>
        </w:rPr>
      </w:pPr>
      <w:r>
        <w:rPr>
          <w:rFonts w:hint="eastAsia" w:ascii="宋体" w:hAnsi="宋体"/>
          <w:color w:val="auto"/>
        </w:rPr>
        <w:t>支持基础档案的维护，包括项目信息、收费信息、资金信息等。</w:t>
      </w:r>
    </w:p>
    <w:p w14:paraId="629854AC">
      <w:pPr>
        <w:spacing w:line="360" w:lineRule="auto"/>
        <w:ind w:firstLine="420" w:firstLineChars="200"/>
        <w:rPr>
          <w:rFonts w:ascii="宋体" w:hAnsi="宋体"/>
          <w:color w:val="auto"/>
        </w:rPr>
      </w:pPr>
      <w:r>
        <w:rPr>
          <w:rFonts w:hint="eastAsia" w:ascii="宋体" w:hAnsi="宋体"/>
          <w:color w:val="auto"/>
        </w:rPr>
        <w:t>支持设置预算会计科目与财务会计科目对应关系及平行记账。</w:t>
      </w:r>
    </w:p>
    <w:p w14:paraId="6AE0E62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w:t>
      </w:r>
      <w:r>
        <w:rPr>
          <w:rFonts w:hint="eastAsia" w:ascii="宋体" w:hAnsi="宋体"/>
          <w:b/>
          <w:bCs/>
          <w:color w:val="auto"/>
          <w:sz w:val="21"/>
          <w:szCs w:val="22"/>
          <w:lang w:eastAsia="zh-CN"/>
        </w:rPr>
        <w:t>.2.5 自动凭证管理中心</w:t>
      </w:r>
    </w:p>
    <w:p w14:paraId="19BC796B">
      <w:pPr>
        <w:spacing w:line="360" w:lineRule="auto"/>
        <w:ind w:firstLine="420" w:firstLineChars="200"/>
        <w:rPr>
          <w:rFonts w:ascii="宋体" w:hAnsi="宋体"/>
          <w:color w:val="auto"/>
        </w:rPr>
      </w:pPr>
      <w:r>
        <w:rPr>
          <w:rFonts w:hint="eastAsia" w:ascii="宋体" w:hAnsi="宋体"/>
          <w:color w:val="auto"/>
        </w:rPr>
        <w:t>支持业财融合模式凭证自动生成。包括物资出入库、固定资产各类场景的自动凭证生成，支持多种凭证生成方式：汇总合并明细、汇总不合并明细、按月汇总生成凭证。</w:t>
      </w:r>
    </w:p>
    <w:p w14:paraId="5A235E5F">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w:t>
      </w:r>
      <w:r>
        <w:rPr>
          <w:rFonts w:hint="eastAsia" w:ascii="宋体" w:hAnsi="宋体"/>
          <w:b/>
          <w:bCs/>
          <w:color w:val="auto"/>
          <w:sz w:val="21"/>
          <w:szCs w:val="22"/>
          <w:lang w:eastAsia="zh-CN"/>
        </w:rPr>
        <w:t>.2.6 业务对账</w:t>
      </w:r>
    </w:p>
    <w:p w14:paraId="732EEB6E">
      <w:pPr>
        <w:spacing w:line="360" w:lineRule="auto"/>
        <w:ind w:firstLine="420" w:firstLineChars="200"/>
        <w:rPr>
          <w:rFonts w:ascii="宋体" w:hAnsi="宋体"/>
          <w:color w:val="auto"/>
        </w:rPr>
      </w:pPr>
      <w:r>
        <w:rPr>
          <w:rFonts w:hint="eastAsia" w:ascii="宋体" w:hAnsi="宋体"/>
          <w:color w:val="auto"/>
        </w:rPr>
        <w:t>支持财务账与固定资产业务账对账，保障医院账帐相符。</w:t>
      </w:r>
    </w:p>
    <w:p w14:paraId="799F11C6">
      <w:pPr>
        <w:spacing w:line="360" w:lineRule="auto"/>
        <w:ind w:firstLine="420" w:firstLineChars="200"/>
        <w:rPr>
          <w:rFonts w:ascii="宋体" w:hAnsi="宋体" w:cs="宋体"/>
          <w:color w:val="auto"/>
        </w:rPr>
      </w:pPr>
    </w:p>
    <w:p w14:paraId="57DBED21">
      <w:pPr>
        <w:pStyle w:val="3"/>
        <w:numPr>
          <w:ilvl w:val="-1"/>
          <w:numId w:val="0"/>
        </w:numPr>
        <w:spacing w:line="360" w:lineRule="auto"/>
        <w:ind w:left="0" w:firstLine="0"/>
        <w:rPr>
          <w:rFonts w:ascii="宋体" w:hAnsi="宋体" w:cs="宋体"/>
          <w:color w:val="auto"/>
          <w:sz w:val="21"/>
          <w:szCs w:val="21"/>
        </w:rPr>
      </w:pPr>
      <w:bookmarkStart w:id="39" w:name="_Toc27356"/>
      <w:bookmarkStart w:id="40" w:name="_Toc14738"/>
      <w:bookmarkStart w:id="41" w:name="_Toc198885034"/>
      <w:bookmarkStart w:id="42" w:name="_Toc13562"/>
      <w:bookmarkStart w:id="43" w:name="_Toc5691"/>
      <w:r>
        <w:rPr>
          <w:rFonts w:hint="eastAsia" w:ascii="宋体" w:hAnsi="宋体" w:cs="宋体"/>
          <w:color w:val="auto"/>
          <w:sz w:val="21"/>
          <w:szCs w:val="21"/>
          <w:lang w:val="en-US" w:eastAsia="zh-CN"/>
        </w:rPr>
        <w:t xml:space="preserve">4.3 </w:t>
      </w:r>
      <w:r>
        <w:rPr>
          <w:rFonts w:hint="eastAsia" w:ascii="宋体" w:hAnsi="宋体" w:cs="宋体"/>
          <w:color w:val="auto"/>
          <w:sz w:val="21"/>
          <w:szCs w:val="21"/>
        </w:rPr>
        <w:t>医院全面预算管理系统</w:t>
      </w:r>
      <w:bookmarkEnd w:id="39"/>
      <w:bookmarkEnd w:id="40"/>
      <w:bookmarkEnd w:id="41"/>
      <w:bookmarkEnd w:id="42"/>
      <w:bookmarkEnd w:id="43"/>
    </w:p>
    <w:p w14:paraId="445370A5">
      <w:pPr>
        <w:spacing w:line="360" w:lineRule="auto"/>
        <w:ind w:firstLine="420" w:firstLineChars="200"/>
        <w:rPr>
          <w:rFonts w:ascii="宋体" w:hAnsi="宋体" w:cs="宋体"/>
          <w:color w:val="auto"/>
        </w:rPr>
      </w:pPr>
      <w:r>
        <w:rPr>
          <w:rFonts w:hint="eastAsia" w:ascii="宋体" w:hAnsi="宋体" w:cs="宋体"/>
          <w:color w:val="auto"/>
        </w:rPr>
        <w:t>建立“全口径、全过程、全员性、全方位”的全面预算管理体系，包括实现预算样表设计、预算编制、预算审核、预算报表、预算调整、预算执行、预算控制设置、预算分析的全过程管理；构建建立医院级、归口管理部门级、预算科室级的三级预算管理体系，确保全员参与；</w:t>
      </w:r>
    </w:p>
    <w:p w14:paraId="23BD4C03">
      <w:pPr>
        <w:spacing w:before="0" w:after="0" w:line="240" w:lineRule="auto"/>
        <w:outlineLvl w:val="3"/>
        <w:rPr>
          <w:rFonts w:hint="eastAsia" w:ascii="宋体" w:hAnsi="宋体"/>
          <w:b/>
          <w:bCs/>
          <w:color w:val="auto"/>
          <w:sz w:val="21"/>
          <w:szCs w:val="22"/>
          <w:lang w:eastAsia="zh-CN"/>
        </w:rPr>
      </w:pPr>
      <w:bookmarkStart w:id="44" w:name="_Toc37417630"/>
      <w:r>
        <w:rPr>
          <w:rFonts w:hint="eastAsia" w:ascii="宋体" w:hAnsi="宋体"/>
          <w:b/>
          <w:bCs/>
          <w:color w:val="auto"/>
          <w:sz w:val="21"/>
          <w:szCs w:val="22"/>
          <w:lang w:val="en-US" w:eastAsia="zh-CN"/>
        </w:rPr>
        <w:t xml:space="preserve">4.3.1 </w:t>
      </w:r>
      <w:r>
        <w:rPr>
          <w:rFonts w:hint="eastAsia" w:ascii="宋体" w:hAnsi="宋体"/>
          <w:b/>
          <w:bCs/>
          <w:color w:val="auto"/>
          <w:sz w:val="21"/>
          <w:szCs w:val="22"/>
          <w:lang w:eastAsia="zh-CN"/>
        </w:rPr>
        <w:t>预算准备</w:t>
      </w:r>
      <w:bookmarkEnd w:id="44"/>
    </w:p>
    <w:p w14:paraId="6844E5A1">
      <w:pPr>
        <w:spacing w:line="360" w:lineRule="auto"/>
        <w:ind w:firstLine="420"/>
        <w:rPr>
          <w:rFonts w:ascii="宋体" w:hAnsi="宋体" w:cs="宋体"/>
          <w:b w:val="0"/>
          <w:bCs w:val="0"/>
          <w:color w:val="auto"/>
        </w:rPr>
      </w:pPr>
      <w:r>
        <w:rPr>
          <w:rFonts w:hint="eastAsia" w:ascii="宋体" w:hAnsi="宋体" w:cs="宋体"/>
          <w:b w:val="0"/>
          <w:bCs w:val="0"/>
          <w:color w:val="auto"/>
        </w:rPr>
        <w:t>预算准备主要是对预算年度、医院战略目标，为本年度预算编制提供依据。</w:t>
      </w:r>
    </w:p>
    <w:p w14:paraId="124FB2CE">
      <w:pPr>
        <w:numPr>
          <w:ilvl w:val="0"/>
          <w:numId w:val="6"/>
        </w:numPr>
        <w:spacing w:line="360" w:lineRule="auto"/>
        <w:rPr>
          <w:rFonts w:ascii="宋体" w:hAnsi="宋体" w:cs="宋体"/>
          <w:b w:val="0"/>
          <w:bCs w:val="0"/>
          <w:color w:val="auto"/>
        </w:rPr>
      </w:pPr>
      <w:r>
        <w:rPr>
          <w:rFonts w:hint="eastAsia" w:ascii="宋体" w:hAnsi="宋体" w:cs="宋体"/>
          <w:b w:val="0"/>
          <w:bCs w:val="0"/>
          <w:color w:val="auto"/>
        </w:rPr>
        <w:t>预算规则管理</w:t>
      </w:r>
    </w:p>
    <w:p w14:paraId="31244FAC">
      <w:pPr>
        <w:spacing w:line="360" w:lineRule="auto"/>
        <w:ind w:firstLine="420"/>
        <w:rPr>
          <w:rFonts w:ascii="宋体" w:hAnsi="宋体" w:cs="宋体"/>
          <w:b w:val="0"/>
          <w:bCs w:val="0"/>
          <w:color w:val="auto"/>
        </w:rPr>
      </w:pPr>
      <w:r>
        <w:rPr>
          <w:rFonts w:hint="eastAsia" w:ascii="宋体" w:hAnsi="宋体" w:cs="宋体"/>
          <w:b w:val="0"/>
          <w:bCs w:val="0"/>
          <w:color w:val="auto"/>
        </w:rPr>
        <w:t>支持设置医院的战略目标，能够将战略目标进行分解成科室目标，并根据目标建立行动方案，与预算编制数据进行关联，真正围绕医院战略目标，实现预算资金、人员、资产的合理化规划。</w:t>
      </w:r>
    </w:p>
    <w:p w14:paraId="19DA1437">
      <w:pPr>
        <w:numPr>
          <w:ilvl w:val="0"/>
          <w:numId w:val="6"/>
        </w:numPr>
        <w:spacing w:line="360" w:lineRule="auto"/>
        <w:rPr>
          <w:rFonts w:ascii="宋体" w:hAnsi="宋体" w:cs="宋体"/>
          <w:b w:val="0"/>
          <w:bCs w:val="0"/>
          <w:color w:val="auto"/>
        </w:rPr>
      </w:pPr>
      <w:r>
        <w:rPr>
          <w:rFonts w:hint="eastAsia" w:ascii="宋体" w:hAnsi="宋体" w:cs="宋体"/>
          <w:b w:val="0"/>
          <w:bCs w:val="0"/>
          <w:color w:val="auto"/>
        </w:rPr>
        <w:t>相关控制目标</w:t>
      </w:r>
    </w:p>
    <w:p w14:paraId="21EEDB25">
      <w:pPr>
        <w:spacing w:line="360" w:lineRule="auto"/>
        <w:ind w:firstLine="420"/>
        <w:rPr>
          <w:rFonts w:ascii="宋体" w:hAnsi="宋体" w:cs="宋体"/>
          <w:b w:val="0"/>
          <w:bCs w:val="0"/>
          <w:color w:val="auto"/>
        </w:rPr>
      </w:pPr>
      <w:r>
        <w:rPr>
          <w:rFonts w:hint="eastAsia" w:ascii="宋体" w:hAnsi="宋体" w:cs="宋体"/>
          <w:b w:val="0"/>
          <w:bCs w:val="0"/>
          <w:color w:val="auto"/>
        </w:rPr>
        <w:t>支持自定义预算关键指标及计算规则的设置。</w:t>
      </w:r>
    </w:p>
    <w:p w14:paraId="3774492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4.3.2 </w:t>
      </w:r>
      <w:r>
        <w:rPr>
          <w:rFonts w:hint="eastAsia" w:ascii="宋体" w:hAnsi="宋体"/>
          <w:b/>
          <w:bCs/>
          <w:color w:val="auto"/>
          <w:sz w:val="21"/>
          <w:szCs w:val="22"/>
          <w:lang w:eastAsia="zh-CN"/>
        </w:rPr>
        <w:t>预算样表</w:t>
      </w:r>
    </w:p>
    <w:p w14:paraId="7DE705E7">
      <w:pPr>
        <w:numPr>
          <w:ilvl w:val="0"/>
          <w:numId w:val="7"/>
        </w:numPr>
        <w:spacing w:line="360" w:lineRule="auto"/>
        <w:rPr>
          <w:rFonts w:ascii="宋体" w:hAnsi="宋体" w:cs="宋体"/>
          <w:b w:val="0"/>
          <w:bCs w:val="0"/>
          <w:color w:val="auto"/>
        </w:rPr>
      </w:pPr>
      <w:r>
        <w:rPr>
          <w:rFonts w:hint="eastAsia" w:ascii="宋体" w:hAnsi="宋体" w:cs="宋体"/>
          <w:b w:val="0"/>
          <w:bCs w:val="0"/>
          <w:color w:val="auto"/>
        </w:rPr>
        <w:t>应用模型</w:t>
      </w:r>
    </w:p>
    <w:p w14:paraId="5C698989">
      <w:pPr>
        <w:spacing w:line="360" w:lineRule="auto"/>
        <w:ind w:firstLine="420"/>
        <w:rPr>
          <w:rFonts w:ascii="宋体" w:hAnsi="宋体" w:cs="宋体"/>
          <w:b w:val="0"/>
          <w:bCs w:val="0"/>
          <w:color w:val="auto"/>
        </w:rPr>
      </w:pPr>
      <w:r>
        <w:rPr>
          <w:rFonts w:hint="eastAsia" w:ascii="宋体" w:hAnsi="宋体" w:cs="宋体"/>
          <w:b w:val="0"/>
          <w:bCs w:val="0"/>
          <w:color w:val="auto"/>
        </w:rPr>
        <w:t>可按年度、版本、部门、项目、资金来源、人员类别等不同的维度设置预算模型。</w:t>
      </w:r>
    </w:p>
    <w:p w14:paraId="5CFDBC66">
      <w:pPr>
        <w:numPr>
          <w:ilvl w:val="0"/>
          <w:numId w:val="7"/>
        </w:numPr>
        <w:spacing w:line="360" w:lineRule="auto"/>
        <w:rPr>
          <w:rFonts w:ascii="宋体" w:hAnsi="宋体" w:cs="宋体"/>
          <w:b w:val="0"/>
          <w:bCs w:val="0"/>
          <w:color w:val="auto"/>
        </w:rPr>
      </w:pPr>
      <w:r>
        <w:rPr>
          <w:rFonts w:hint="eastAsia" w:ascii="宋体" w:hAnsi="宋体" w:cs="宋体"/>
          <w:b w:val="0"/>
          <w:bCs w:val="0"/>
          <w:color w:val="auto"/>
        </w:rPr>
        <w:t>预算样表</w:t>
      </w:r>
    </w:p>
    <w:p w14:paraId="431A917D">
      <w:pPr>
        <w:spacing w:line="360" w:lineRule="auto"/>
        <w:ind w:firstLine="420"/>
        <w:rPr>
          <w:rFonts w:ascii="宋体" w:hAnsi="宋体" w:cs="宋体"/>
          <w:b w:val="0"/>
          <w:bCs w:val="0"/>
          <w:color w:val="auto"/>
        </w:rPr>
      </w:pPr>
      <w:r>
        <w:rPr>
          <w:rFonts w:hint="eastAsia" w:ascii="宋体" w:hAnsi="宋体" w:cs="宋体"/>
          <w:b w:val="0"/>
          <w:bCs w:val="0"/>
          <w:color w:val="auto"/>
        </w:rPr>
        <w:t>支持自定义预算样表模板；支持设置预算样表的归口科室、填报科室和截止填报时间。</w:t>
      </w:r>
    </w:p>
    <w:p w14:paraId="0692D9CA">
      <w:pPr>
        <w:spacing w:line="360" w:lineRule="auto"/>
        <w:ind w:firstLine="420"/>
        <w:rPr>
          <w:rFonts w:ascii="宋体" w:hAnsi="宋体" w:cs="宋体"/>
          <w:b w:val="0"/>
          <w:bCs w:val="0"/>
          <w:color w:val="auto"/>
        </w:rPr>
      </w:pPr>
      <w:r>
        <w:rPr>
          <w:rFonts w:hint="eastAsia" w:ascii="宋体" w:hAnsi="宋体" w:cs="宋体"/>
          <w:b w:val="0"/>
          <w:bCs w:val="0"/>
          <w:color w:val="auto"/>
        </w:rPr>
        <w:t>系统可灵活支撑各种预算表样的定制。系统定制样表的方式采用可视化的电子表格方式。</w:t>
      </w:r>
    </w:p>
    <w:p w14:paraId="23483AAD">
      <w:pPr>
        <w:spacing w:line="360" w:lineRule="auto"/>
        <w:ind w:firstLine="420"/>
        <w:rPr>
          <w:rFonts w:ascii="宋体" w:hAnsi="宋体" w:cs="宋体"/>
          <w:b w:val="0"/>
          <w:bCs w:val="0"/>
          <w:color w:val="auto"/>
        </w:rPr>
      </w:pPr>
      <w:r>
        <w:rPr>
          <w:rFonts w:hint="eastAsia" w:ascii="宋体" w:hAnsi="宋体" w:cs="宋体"/>
          <w:b w:val="0"/>
          <w:bCs w:val="0"/>
          <w:color w:val="auto"/>
        </w:rPr>
        <w:t>可灵活定义收入预算指标、支出预算指标、业务预算指标，同时业务预算指标能够支持结构性、效率性指标。</w:t>
      </w:r>
    </w:p>
    <w:p w14:paraId="738103D1">
      <w:pPr>
        <w:spacing w:line="360" w:lineRule="auto"/>
        <w:ind w:firstLine="420"/>
        <w:rPr>
          <w:rFonts w:ascii="宋体" w:hAnsi="宋体" w:cs="宋体"/>
          <w:b w:val="0"/>
          <w:bCs w:val="0"/>
          <w:color w:val="auto"/>
        </w:rPr>
      </w:pPr>
      <w:r>
        <w:rPr>
          <w:rFonts w:hint="eastAsia" w:ascii="宋体" w:hAnsi="宋体" w:cs="宋体"/>
          <w:b w:val="0"/>
          <w:bCs w:val="0"/>
          <w:color w:val="auto"/>
        </w:rPr>
        <w:t>支持事项预算，以事项驱动的预算编制便于各科室梳理年度工作任务，明确职责权限。</w:t>
      </w:r>
    </w:p>
    <w:p w14:paraId="712805E4">
      <w:pPr>
        <w:spacing w:before="0" w:after="0" w:line="240" w:lineRule="auto"/>
        <w:outlineLvl w:val="3"/>
        <w:rPr>
          <w:rFonts w:hint="eastAsia" w:ascii="宋体" w:hAnsi="宋体"/>
          <w:b/>
          <w:bCs/>
          <w:color w:val="auto"/>
          <w:sz w:val="21"/>
          <w:szCs w:val="22"/>
          <w:lang w:eastAsia="zh-CN"/>
        </w:rPr>
      </w:pPr>
      <w:bookmarkStart w:id="45" w:name="_Toc37417634"/>
      <w:r>
        <w:rPr>
          <w:rFonts w:hint="eastAsia" w:ascii="宋体" w:hAnsi="宋体"/>
          <w:b/>
          <w:bCs/>
          <w:color w:val="auto"/>
          <w:sz w:val="21"/>
          <w:szCs w:val="22"/>
          <w:lang w:val="en-US" w:eastAsia="zh-CN"/>
        </w:rPr>
        <w:t xml:space="preserve">4.3.3 </w:t>
      </w:r>
      <w:r>
        <w:rPr>
          <w:rFonts w:hint="eastAsia" w:ascii="宋体" w:hAnsi="宋体"/>
          <w:b/>
          <w:bCs/>
          <w:color w:val="auto"/>
          <w:sz w:val="21"/>
          <w:szCs w:val="22"/>
          <w:lang w:eastAsia="zh-CN"/>
        </w:rPr>
        <w:t>预算编制</w:t>
      </w:r>
      <w:bookmarkEnd w:id="45"/>
    </w:p>
    <w:p w14:paraId="41A9FCDA">
      <w:pPr>
        <w:spacing w:line="360" w:lineRule="auto"/>
        <w:ind w:firstLine="420" w:firstLineChars="200"/>
        <w:rPr>
          <w:rFonts w:ascii="宋体" w:hAnsi="宋体" w:cs="宋体"/>
          <w:color w:val="auto"/>
        </w:rPr>
      </w:pPr>
      <w:r>
        <w:rPr>
          <w:rFonts w:hint="eastAsia" w:ascii="宋体" w:hAnsi="宋体" w:cs="宋体"/>
          <w:color w:val="auto"/>
        </w:rPr>
        <w:t>支持对收入预算、支出预算、业务预算、项目预算、筹资投资预算的编制，系统支持权限控制，预算科室可编制拥有编制权限的数据。</w:t>
      </w:r>
    </w:p>
    <w:p w14:paraId="0F08D3BE">
      <w:pPr>
        <w:pStyle w:val="96"/>
        <w:ind w:firstLine="420"/>
        <w:rPr>
          <w:rFonts w:cs="宋体"/>
          <w:color w:val="auto"/>
          <w:sz w:val="21"/>
          <w:szCs w:val="21"/>
        </w:rPr>
      </w:pPr>
      <w:r>
        <w:rPr>
          <w:rFonts w:hint="eastAsia" w:cs="宋体"/>
          <w:color w:val="auto"/>
          <w:sz w:val="21"/>
          <w:szCs w:val="21"/>
        </w:rPr>
        <w:t>可通过下发样表授权的方式，下发至预算科室自行编制。支持多上多下预算编制。</w:t>
      </w:r>
    </w:p>
    <w:p w14:paraId="611E7258">
      <w:pPr>
        <w:spacing w:line="360" w:lineRule="auto"/>
        <w:ind w:firstLine="420" w:firstLineChars="200"/>
        <w:rPr>
          <w:rFonts w:ascii="宋体" w:hAnsi="宋体" w:cs="宋体"/>
          <w:color w:val="auto"/>
        </w:rPr>
      </w:pPr>
      <w:r>
        <w:rPr>
          <w:rFonts w:hint="eastAsia" w:ascii="宋体" w:hAnsi="宋体" w:cs="宋体"/>
          <w:color w:val="auto"/>
        </w:rPr>
        <w:t>支持多种预算编制模式：</w:t>
      </w:r>
    </w:p>
    <w:p w14:paraId="639F06BF">
      <w:pPr>
        <w:spacing w:line="360" w:lineRule="auto"/>
        <w:ind w:firstLine="420" w:firstLineChars="200"/>
        <w:rPr>
          <w:rFonts w:ascii="宋体" w:hAnsi="宋体" w:cs="宋体"/>
          <w:color w:val="auto"/>
        </w:rPr>
      </w:pPr>
      <w:r>
        <w:rPr>
          <w:rFonts w:hint="eastAsia" w:ascii="宋体" w:hAnsi="宋体" w:cs="宋体"/>
          <w:color w:val="auto"/>
        </w:rPr>
        <w:t>收入预算的编制能支持预算科室编制和财务科室编制两种编制模式；</w:t>
      </w:r>
    </w:p>
    <w:p w14:paraId="508EB457">
      <w:pPr>
        <w:spacing w:line="360" w:lineRule="auto"/>
        <w:ind w:firstLine="420" w:firstLineChars="200"/>
        <w:rPr>
          <w:rFonts w:ascii="宋体" w:hAnsi="宋体" w:cs="宋体"/>
          <w:color w:val="auto"/>
        </w:rPr>
      </w:pPr>
      <w:r>
        <w:rPr>
          <w:rFonts w:hint="eastAsia" w:ascii="宋体" w:hAnsi="宋体" w:cs="宋体"/>
          <w:color w:val="auto"/>
        </w:rPr>
        <w:t>支出预算的编制支持预算科室编制和归口科室编制、财务科室编制三种编制模式；</w:t>
      </w:r>
    </w:p>
    <w:p w14:paraId="47FFF5C3">
      <w:pPr>
        <w:spacing w:line="360" w:lineRule="auto"/>
        <w:ind w:firstLine="420" w:firstLineChars="200"/>
        <w:rPr>
          <w:rFonts w:ascii="宋体" w:hAnsi="宋体" w:cs="宋体"/>
          <w:color w:val="auto"/>
        </w:rPr>
      </w:pPr>
      <w:r>
        <w:rPr>
          <w:rFonts w:hint="eastAsia" w:ascii="宋体" w:hAnsi="宋体" w:cs="宋体"/>
          <w:color w:val="auto"/>
        </w:rPr>
        <w:t>业务预算的编制支持预算科室编制、财务科室编制两种编制模式；</w:t>
      </w:r>
    </w:p>
    <w:p w14:paraId="02E016CA">
      <w:pPr>
        <w:spacing w:line="360" w:lineRule="auto"/>
        <w:ind w:firstLine="420" w:firstLineChars="200"/>
        <w:rPr>
          <w:rFonts w:ascii="宋体" w:hAnsi="宋体" w:cs="宋体"/>
          <w:color w:val="auto"/>
        </w:rPr>
      </w:pPr>
      <w:r>
        <w:rPr>
          <w:rFonts w:hint="eastAsia" w:ascii="宋体" w:hAnsi="宋体" w:cs="宋体"/>
          <w:color w:val="auto"/>
        </w:rPr>
        <w:t>项目预算的编制支持预算科室编制和财务代编两种编制模式；</w:t>
      </w:r>
    </w:p>
    <w:p w14:paraId="5E7158C9">
      <w:pPr>
        <w:spacing w:line="360" w:lineRule="auto"/>
        <w:ind w:firstLine="420" w:firstLineChars="200"/>
        <w:rPr>
          <w:rFonts w:ascii="宋体" w:hAnsi="宋体" w:cs="宋体"/>
          <w:color w:val="auto"/>
        </w:rPr>
      </w:pPr>
      <w:r>
        <w:rPr>
          <w:rFonts w:hint="eastAsia" w:ascii="宋体" w:hAnsi="宋体" w:cs="宋体"/>
          <w:color w:val="auto"/>
        </w:rPr>
        <w:t>筹资投资预算的编制能支持预算科室编制和归口科室编/财务科室编制两种编制模式，筹资投资预算支持按按资金来源进行编制。</w:t>
      </w:r>
    </w:p>
    <w:p w14:paraId="42AC3CCC">
      <w:pPr>
        <w:numPr>
          <w:ilvl w:val="0"/>
          <w:numId w:val="8"/>
        </w:numPr>
        <w:spacing w:line="360" w:lineRule="auto"/>
        <w:rPr>
          <w:rFonts w:ascii="宋体" w:hAnsi="宋体" w:cs="宋体"/>
          <w:b w:val="0"/>
          <w:bCs w:val="0"/>
          <w:color w:val="auto"/>
        </w:rPr>
      </w:pPr>
      <w:r>
        <w:rPr>
          <w:rFonts w:hint="eastAsia" w:ascii="宋体" w:hAnsi="宋体" w:cs="宋体"/>
          <w:b w:val="0"/>
          <w:bCs w:val="0"/>
          <w:color w:val="auto"/>
        </w:rPr>
        <w:t>任务分解</w:t>
      </w:r>
    </w:p>
    <w:p w14:paraId="33C8FE69">
      <w:pPr>
        <w:spacing w:line="360" w:lineRule="auto"/>
        <w:ind w:firstLine="420" w:firstLineChars="200"/>
        <w:rPr>
          <w:rFonts w:ascii="宋体" w:hAnsi="宋体" w:cs="宋体"/>
          <w:color w:val="auto"/>
        </w:rPr>
      </w:pPr>
      <w:r>
        <w:rPr>
          <w:rFonts w:hint="eastAsia" w:ascii="宋体" w:hAnsi="宋体" w:cs="宋体"/>
          <w:color w:val="auto"/>
        </w:rPr>
        <w:t>按预算管理委员会下发的预算样表进行任务分配，可自定义选择下发的业务科室。</w:t>
      </w:r>
    </w:p>
    <w:p w14:paraId="5EEF8812">
      <w:pPr>
        <w:numPr>
          <w:ilvl w:val="0"/>
          <w:numId w:val="8"/>
        </w:numPr>
        <w:spacing w:line="360" w:lineRule="auto"/>
        <w:rPr>
          <w:rFonts w:ascii="宋体" w:hAnsi="宋体" w:cs="宋体"/>
          <w:b w:val="0"/>
          <w:bCs w:val="0"/>
          <w:color w:val="auto"/>
        </w:rPr>
      </w:pPr>
      <w:r>
        <w:rPr>
          <w:rFonts w:hint="eastAsia" w:ascii="宋体" w:hAnsi="宋体" w:cs="宋体"/>
          <w:b w:val="0"/>
          <w:bCs w:val="0"/>
          <w:color w:val="auto"/>
        </w:rPr>
        <w:t>科室编制</w:t>
      </w:r>
    </w:p>
    <w:p w14:paraId="46D8478F">
      <w:pPr>
        <w:spacing w:line="360" w:lineRule="auto"/>
        <w:ind w:firstLine="420" w:firstLineChars="200"/>
        <w:rPr>
          <w:rFonts w:ascii="宋体" w:hAnsi="宋体" w:cs="宋体"/>
          <w:color w:val="auto"/>
        </w:rPr>
      </w:pPr>
      <w:r>
        <w:rPr>
          <w:rFonts w:hint="eastAsia" w:ascii="宋体" w:hAnsi="宋体" w:cs="宋体"/>
          <w:color w:val="auto"/>
        </w:rPr>
        <w:t>预算科室接收到编制任务后，可在系统进行预算数据的编制，同时系统支持预算编制过程中相关附件的上传；编制完成后，可通过系统的提交功能，将预算编制表单提交给符合内控规范的审批流程进行审批。预算科室还可对当前编制的预算表导出、打印。</w:t>
      </w:r>
    </w:p>
    <w:p w14:paraId="7FAD6C63">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4.3.4 </w:t>
      </w:r>
      <w:r>
        <w:rPr>
          <w:rFonts w:hint="eastAsia" w:ascii="宋体" w:hAnsi="宋体"/>
          <w:b/>
          <w:bCs/>
          <w:color w:val="auto"/>
          <w:sz w:val="21"/>
          <w:szCs w:val="22"/>
          <w:lang w:eastAsia="zh-CN"/>
        </w:rPr>
        <w:t>预算审核</w:t>
      </w:r>
    </w:p>
    <w:p w14:paraId="7EADEA00">
      <w:pPr>
        <w:pStyle w:val="74"/>
        <w:numPr>
          <w:ilvl w:val="1"/>
          <w:numId w:val="9"/>
        </w:numPr>
        <w:spacing w:line="360" w:lineRule="auto"/>
        <w:ind w:left="845" w:hanging="425" w:firstLineChars="0"/>
        <w:rPr>
          <w:rFonts w:ascii="宋体" w:hAnsi="宋体" w:cs="宋体"/>
          <w:b w:val="0"/>
          <w:bCs w:val="0"/>
          <w:color w:val="auto"/>
        </w:rPr>
      </w:pPr>
      <w:r>
        <w:rPr>
          <w:rFonts w:hint="eastAsia" w:ascii="宋体" w:hAnsi="宋体" w:cs="宋体"/>
          <w:b w:val="0"/>
          <w:bCs w:val="0"/>
          <w:color w:val="auto"/>
        </w:rPr>
        <w:t>科室审核</w:t>
      </w:r>
    </w:p>
    <w:p w14:paraId="4F2F0CF7">
      <w:pPr>
        <w:spacing w:line="360" w:lineRule="auto"/>
        <w:ind w:firstLine="420" w:firstLineChars="200"/>
        <w:rPr>
          <w:rFonts w:ascii="宋体" w:hAnsi="宋体" w:cs="宋体"/>
          <w:color w:val="auto"/>
        </w:rPr>
      </w:pPr>
      <w:r>
        <w:rPr>
          <w:rFonts w:hint="eastAsia" w:ascii="宋体" w:hAnsi="宋体" w:cs="宋体"/>
          <w:color w:val="auto"/>
        </w:rPr>
        <w:t>科主任审核本科室预算，支持全部与部分驳回。</w:t>
      </w:r>
    </w:p>
    <w:p w14:paraId="389A01C0">
      <w:pPr>
        <w:pStyle w:val="74"/>
        <w:numPr>
          <w:ilvl w:val="1"/>
          <w:numId w:val="9"/>
        </w:numPr>
        <w:spacing w:line="360" w:lineRule="auto"/>
        <w:ind w:left="845" w:hanging="425" w:firstLineChars="0"/>
        <w:rPr>
          <w:rFonts w:hint="eastAsia" w:ascii="宋体" w:hAnsi="宋体" w:cs="宋体"/>
          <w:b w:val="0"/>
          <w:bCs w:val="0"/>
          <w:color w:val="auto"/>
        </w:rPr>
      </w:pPr>
      <w:r>
        <w:rPr>
          <w:rFonts w:hint="eastAsia" w:ascii="宋体" w:hAnsi="宋体" w:cs="宋体"/>
          <w:b w:val="0"/>
          <w:bCs w:val="0"/>
          <w:color w:val="auto"/>
        </w:rPr>
        <w:t>归口审核</w:t>
      </w:r>
    </w:p>
    <w:p w14:paraId="02BB5441">
      <w:pPr>
        <w:spacing w:line="360" w:lineRule="auto"/>
        <w:ind w:firstLine="420" w:firstLineChars="200"/>
        <w:rPr>
          <w:rFonts w:ascii="宋体" w:hAnsi="宋体" w:cs="宋体"/>
          <w:color w:val="auto"/>
        </w:rPr>
      </w:pPr>
      <w:r>
        <w:rPr>
          <w:rFonts w:hint="eastAsia" w:ascii="宋体" w:hAnsi="宋体" w:cs="宋体"/>
          <w:color w:val="auto"/>
        </w:rPr>
        <w:t>职能科室审核，有权限审核的数据，支持全部与部分驳回，罗列出各业务科室上报数据，支持切换科室视角进行审核。</w:t>
      </w:r>
    </w:p>
    <w:p w14:paraId="27C3349C">
      <w:pPr>
        <w:pStyle w:val="74"/>
        <w:numPr>
          <w:ilvl w:val="1"/>
          <w:numId w:val="9"/>
        </w:numPr>
        <w:spacing w:line="360" w:lineRule="auto"/>
        <w:ind w:left="845" w:hanging="425" w:firstLineChars="0"/>
        <w:rPr>
          <w:rFonts w:hint="eastAsia" w:ascii="宋体" w:hAnsi="宋体" w:cs="宋体"/>
          <w:b w:val="0"/>
          <w:bCs w:val="0"/>
          <w:color w:val="auto"/>
        </w:rPr>
      </w:pPr>
      <w:r>
        <w:rPr>
          <w:rFonts w:hint="eastAsia" w:ascii="宋体" w:hAnsi="宋体" w:cs="宋体"/>
          <w:b w:val="0"/>
          <w:bCs w:val="0"/>
          <w:color w:val="auto"/>
        </w:rPr>
        <w:t>全院审批</w:t>
      </w:r>
    </w:p>
    <w:p w14:paraId="300F08D1">
      <w:pPr>
        <w:spacing w:line="360" w:lineRule="auto"/>
        <w:ind w:firstLine="420" w:firstLineChars="200"/>
        <w:rPr>
          <w:rFonts w:ascii="宋体" w:hAnsi="宋体" w:cs="宋体"/>
          <w:color w:val="auto"/>
        </w:rPr>
      </w:pPr>
      <w:r>
        <w:rPr>
          <w:rFonts w:hint="eastAsia" w:ascii="宋体" w:hAnsi="宋体" w:cs="宋体"/>
          <w:color w:val="auto"/>
        </w:rPr>
        <w:t>支持预算办公室对全院的预算的试算平衡，支持全院级预算审核和驳回，以及启用二上、三上编制；支持生成供预算委员会上会审核的上会报表；支持全院层面的编制状态查看和编制数据查看。</w:t>
      </w:r>
    </w:p>
    <w:p w14:paraId="74FD57D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4.3.5 </w:t>
      </w:r>
      <w:r>
        <w:rPr>
          <w:rFonts w:hint="eastAsia" w:ascii="宋体" w:hAnsi="宋体"/>
          <w:b/>
          <w:bCs/>
          <w:color w:val="auto"/>
          <w:sz w:val="21"/>
          <w:szCs w:val="22"/>
          <w:lang w:eastAsia="zh-CN"/>
        </w:rPr>
        <w:t>预算报表</w:t>
      </w:r>
    </w:p>
    <w:p w14:paraId="28518747">
      <w:pPr>
        <w:pStyle w:val="74"/>
        <w:tabs>
          <w:tab w:val="left" w:pos="432"/>
        </w:tabs>
        <w:spacing w:line="360" w:lineRule="auto"/>
        <w:ind w:left="432" w:firstLine="0" w:firstLineChars="0"/>
        <w:rPr>
          <w:rFonts w:ascii="宋体" w:hAnsi="宋体" w:cs="宋体"/>
          <w:color w:val="auto"/>
        </w:rPr>
      </w:pPr>
      <w:r>
        <w:rPr>
          <w:rFonts w:hint="eastAsia" w:ascii="宋体" w:hAnsi="宋体" w:cs="宋体"/>
          <w:color w:val="auto"/>
        </w:rPr>
        <w:t>支持自定义预算分析报表，根据医院管理需要设计报表并发布。</w:t>
      </w:r>
    </w:p>
    <w:p w14:paraId="3656EA1C">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4.3.6 </w:t>
      </w:r>
      <w:r>
        <w:rPr>
          <w:rFonts w:hint="eastAsia" w:ascii="宋体" w:hAnsi="宋体"/>
          <w:b/>
          <w:bCs/>
          <w:color w:val="auto"/>
          <w:sz w:val="21"/>
          <w:szCs w:val="22"/>
          <w:lang w:eastAsia="zh-CN"/>
        </w:rPr>
        <w:t>预算调整</w:t>
      </w:r>
    </w:p>
    <w:p w14:paraId="5EBC5C83">
      <w:pPr>
        <w:spacing w:line="360" w:lineRule="auto"/>
        <w:ind w:firstLine="420" w:firstLineChars="200"/>
        <w:rPr>
          <w:rFonts w:ascii="宋体" w:hAnsi="宋体" w:cs="宋体"/>
          <w:color w:val="auto"/>
        </w:rPr>
      </w:pPr>
      <w:r>
        <w:rPr>
          <w:rFonts w:hint="eastAsia" w:ascii="宋体" w:hAnsi="宋体" w:cs="宋体"/>
          <w:color w:val="auto"/>
        </w:rPr>
        <w:t>预算批复后保证预算严肃性的同时，支持符合内控规范的调整流程，包括预算调整单申请、调整单审批。</w:t>
      </w:r>
    </w:p>
    <w:p w14:paraId="2BA8F51D">
      <w:pPr>
        <w:spacing w:line="360" w:lineRule="auto"/>
        <w:ind w:firstLine="420" w:firstLineChars="200"/>
        <w:rPr>
          <w:rFonts w:ascii="宋体" w:hAnsi="宋体" w:cs="宋体"/>
          <w:color w:val="auto"/>
        </w:rPr>
      </w:pPr>
      <w:r>
        <w:rPr>
          <w:rFonts w:hint="eastAsia" w:ascii="宋体" w:hAnsi="宋体" w:cs="宋体"/>
          <w:color w:val="auto"/>
        </w:rPr>
        <w:t>预算调整申请单支持对权限范围内预算的调剂、调增、调减，调整申请单支持保存、提交功能，调整单提交后系统自动按符合内控的工作流程流转至审批人环节里。</w:t>
      </w:r>
    </w:p>
    <w:p w14:paraId="128A7D13">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4.3.7 </w:t>
      </w:r>
      <w:r>
        <w:rPr>
          <w:rFonts w:hint="eastAsia" w:ascii="宋体" w:hAnsi="宋体"/>
          <w:b/>
          <w:bCs/>
          <w:color w:val="auto"/>
          <w:sz w:val="21"/>
          <w:szCs w:val="22"/>
          <w:lang w:eastAsia="zh-CN"/>
        </w:rPr>
        <w:t>预算执行</w:t>
      </w:r>
    </w:p>
    <w:p w14:paraId="481A1B1A">
      <w:pPr>
        <w:spacing w:line="360" w:lineRule="auto"/>
        <w:ind w:firstLine="420" w:firstLineChars="200"/>
        <w:rPr>
          <w:rFonts w:ascii="宋体" w:hAnsi="宋体" w:cs="宋体"/>
          <w:color w:val="auto"/>
        </w:rPr>
      </w:pPr>
      <w:r>
        <w:rPr>
          <w:rFonts w:hint="eastAsia" w:ascii="宋体" w:hAnsi="宋体" w:cs="宋体"/>
          <w:color w:val="auto"/>
        </w:rPr>
        <w:t>预算管理系统中</w:t>
      </w:r>
      <w:bookmarkStart w:id="46" w:name="_Hlk99725681"/>
      <w:r>
        <w:rPr>
          <w:rFonts w:hint="eastAsia" w:ascii="宋体" w:hAnsi="宋体" w:cs="宋体"/>
          <w:color w:val="auto"/>
        </w:rPr>
        <w:t>通过接口或导入方式获取HIS</w:t>
      </w:r>
      <w:bookmarkEnd w:id="46"/>
      <w:r>
        <w:rPr>
          <w:rFonts w:hint="eastAsia" w:ascii="宋体" w:hAnsi="宋体" w:cs="宋体"/>
          <w:color w:val="auto"/>
        </w:rPr>
        <w:t>中相关的门诊人次、出院人次、床日数、次均费用以及各种收费类别（如药品收入、手术收入、检查收入等）结构化业务数据作为医疗业务计划的执行数据。以业务发生数据作为执行数据，可以更全面的反馈业务情况，管理者也能通过数据的反馈精准施策。也支持手工录入执行数据进行核销。</w:t>
      </w:r>
    </w:p>
    <w:p w14:paraId="2777FD3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4.3.8 </w:t>
      </w:r>
      <w:r>
        <w:rPr>
          <w:rFonts w:hint="eastAsia" w:ascii="宋体" w:hAnsi="宋体"/>
          <w:b/>
          <w:bCs/>
          <w:color w:val="auto"/>
          <w:sz w:val="21"/>
          <w:szCs w:val="22"/>
          <w:lang w:eastAsia="zh-CN"/>
        </w:rPr>
        <w:t>预算控制</w:t>
      </w:r>
    </w:p>
    <w:p w14:paraId="6E64EB06">
      <w:pPr>
        <w:numPr>
          <w:ilvl w:val="0"/>
          <w:numId w:val="10"/>
        </w:numPr>
        <w:spacing w:line="360" w:lineRule="auto"/>
        <w:rPr>
          <w:rFonts w:ascii="宋体" w:hAnsi="宋体" w:cs="宋体"/>
          <w:b w:val="0"/>
          <w:bCs w:val="0"/>
          <w:color w:val="auto"/>
        </w:rPr>
      </w:pPr>
      <w:r>
        <w:rPr>
          <w:rFonts w:hint="eastAsia" w:ascii="宋体" w:hAnsi="宋体" w:cs="宋体"/>
          <w:b w:val="0"/>
          <w:bCs w:val="0"/>
          <w:color w:val="auto"/>
        </w:rPr>
        <w:t>控制策略</w:t>
      </w:r>
    </w:p>
    <w:p w14:paraId="7C887204">
      <w:pPr>
        <w:spacing w:line="360" w:lineRule="auto"/>
        <w:ind w:firstLine="420" w:firstLineChars="200"/>
        <w:rPr>
          <w:rFonts w:ascii="宋体" w:hAnsi="宋体" w:cs="宋体"/>
          <w:color w:val="auto"/>
        </w:rPr>
      </w:pPr>
      <w:r>
        <w:rPr>
          <w:rFonts w:hint="eastAsia" w:ascii="宋体" w:hAnsi="宋体" w:cs="宋体"/>
          <w:color w:val="auto"/>
        </w:rPr>
        <w:t>预算管理办公室可在预算管理系统中通过控制策略，配置对其他业务系统的预算控制。系统支持对具体单据、控制节点、预算执行类别的设置。</w:t>
      </w:r>
    </w:p>
    <w:p w14:paraId="64D746B7">
      <w:pPr>
        <w:numPr>
          <w:ilvl w:val="0"/>
          <w:numId w:val="10"/>
        </w:numPr>
        <w:spacing w:line="360" w:lineRule="auto"/>
        <w:rPr>
          <w:rFonts w:hint="eastAsia" w:ascii="宋体" w:hAnsi="宋体" w:cs="宋体"/>
          <w:b w:val="0"/>
          <w:bCs w:val="0"/>
          <w:color w:val="auto"/>
        </w:rPr>
      </w:pPr>
      <w:r>
        <w:rPr>
          <w:rFonts w:hint="eastAsia" w:ascii="宋体" w:hAnsi="宋体" w:cs="宋体"/>
          <w:b w:val="0"/>
          <w:bCs w:val="0"/>
          <w:color w:val="auto"/>
        </w:rPr>
        <w:t>控制规则</w:t>
      </w:r>
    </w:p>
    <w:p w14:paraId="617CA647">
      <w:pPr>
        <w:spacing w:line="360" w:lineRule="auto"/>
        <w:ind w:firstLine="420" w:firstLineChars="200"/>
        <w:rPr>
          <w:rFonts w:ascii="宋体" w:hAnsi="宋体" w:cs="宋体"/>
          <w:color w:val="auto"/>
        </w:rPr>
      </w:pPr>
      <w:r>
        <w:rPr>
          <w:rFonts w:hint="eastAsia" w:ascii="宋体" w:hAnsi="宋体" w:cs="宋体"/>
          <w:color w:val="auto"/>
        </w:rPr>
        <w:t>系统中的控制规则，</w:t>
      </w:r>
      <w:bookmarkStart w:id="47" w:name="_Hlk99724932"/>
      <w:r>
        <w:rPr>
          <w:rFonts w:hint="eastAsia" w:ascii="宋体" w:hAnsi="宋体" w:cs="宋体"/>
          <w:color w:val="auto"/>
        </w:rPr>
        <w:t>可通过精细化的定义控制维度，实现对不同业务单据按不同的业务维度去控制。</w:t>
      </w:r>
      <w:bookmarkEnd w:id="47"/>
    </w:p>
    <w:p w14:paraId="7E64E785">
      <w:pPr>
        <w:spacing w:line="360" w:lineRule="auto"/>
        <w:ind w:firstLine="420" w:firstLineChars="200"/>
        <w:rPr>
          <w:rFonts w:ascii="宋体" w:hAnsi="宋体" w:cs="宋体"/>
          <w:color w:val="auto"/>
        </w:rPr>
      </w:pPr>
      <w:r>
        <w:rPr>
          <w:rFonts w:hint="eastAsia" w:ascii="宋体" w:hAnsi="宋体" w:cs="宋体"/>
          <w:color w:val="auto"/>
        </w:rPr>
        <w:t>预算控制规则直接作用于业务发生，对预算执行超预算、超比例进行预警，真正将预算管控前置到业务阶段。</w:t>
      </w:r>
    </w:p>
    <w:p w14:paraId="68A6FAA0">
      <w:pPr>
        <w:spacing w:line="360" w:lineRule="auto"/>
        <w:ind w:firstLine="420" w:firstLineChars="200"/>
        <w:rPr>
          <w:rFonts w:ascii="宋体" w:hAnsi="宋体" w:cs="宋体"/>
          <w:color w:val="auto"/>
        </w:rPr>
      </w:pPr>
      <w:r>
        <w:rPr>
          <w:rFonts w:hint="eastAsia" w:ascii="宋体" w:hAnsi="宋体" w:cs="宋体"/>
          <w:color w:val="auto"/>
        </w:rPr>
        <w:t>通过与报销系统连用，对支出预算、项目预算进行控制，控制对象可针对个人报销和对公报账，个人报销主要指个人的日常、差旅费用报销；对公报账主要指合同、采购、资产的对公报账支付。</w:t>
      </w:r>
    </w:p>
    <w:p w14:paraId="468AE2CE">
      <w:pPr>
        <w:spacing w:line="360" w:lineRule="auto"/>
        <w:ind w:firstLine="420" w:firstLineChars="200"/>
        <w:rPr>
          <w:rFonts w:ascii="宋体" w:hAnsi="宋体" w:cs="宋体"/>
          <w:color w:val="auto"/>
        </w:rPr>
      </w:pPr>
      <w:r>
        <w:rPr>
          <w:rFonts w:hint="eastAsia" w:ascii="宋体" w:hAnsi="宋体" w:cs="宋体"/>
          <w:color w:val="auto"/>
        </w:rPr>
        <w:t>支持通过合同管理系统或者固定资产系统对筹资投资进行控制。</w:t>
      </w:r>
    </w:p>
    <w:p w14:paraId="1C65F5C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4.3.9 </w:t>
      </w:r>
      <w:r>
        <w:rPr>
          <w:rFonts w:hint="eastAsia" w:ascii="宋体" w:hAnsi="宋体"/>
          <w:b/>
          <w:bCs/>
          <w:color w:val="auto"/>
          <w:sz w:val="21"/>
          <w:szCs w:val="22"/>
          <w:lang w:eastAsia="zh-CN"/>
        </w:rPr>
        <w:t>预算分析</w:t>
      </w:r>
    </w:p>
    <w:p w14:paraId="17CFAAB2">
      <w:pPr>
        <w:spacing w:line="360" w:lineRule="auto"/>
        <w:ind w:firstLine="420" w:firstLineChars="200"/>
        <w:rPr>
          <w:rFonts w:ascii="宋体" w:hAnsi="宋体" w:cs="宋体"/>
          <w:color w:val="auto"/>
        </w:rPr>
      </w:pPr>
      <w:r>
        <w:rPr>
          <w:rFonts w:hint="eastAsia" w:ascii="宋体" w:hAnsi="宋体" w:cs="宋体"/>
          <w:color w:val="auto"/>
        </w:rPr>
        <w:t>预算执行分析</w:t>
      </w:r>
      <w:bookmarkStart w:id="48" w:name="_Hlk99730230"/>
      <w:r>
        <w:rPr>
          <w:rFonts w:hint="eastAsia" w:ascii="宋体" w:hAnsi="宋体" w:cs="宋体"/>
          <w:color w:val="auto"/>
        </w:rPr>
        <w:t>可支持预算科室和归口科室从指标、事项、项目、科室的维度对预算执行情况进行查询</w:t>
      </w:r>
      <w:bookmarkEnd w:id="48"/>
      <w:r>
        <w:rPr>
          <w:rFonts w:hint="eastAsia" w:ascii="宋体" w:hAnsi="宋体" w:cs="宋体"/>
          <w:color w:val="auto"/>
        </w:rPr>
        <w:t>。</w:t>
      </w:r>
    </w:p>
    <w:p w14:paraId="6FB1754E">
      <w:pPr>
        <w:spacing w:line="360" w:lineRule="auto"/>
        <w:ind w:firstLine="420" w:firstLineChars="200"/>
        <w:rPr>
          <w:rFonts w:ascii="宋体" w:hAnsi="宋体" w:cs="宋体"/>
          <w:color w:val="auto"/>
        </w:rPr>
      </w:pPr>
      <w:r>
        <w:rPr>
          <w:rFonts w:hint="eastAsia" w:ascii="宋体" w:hAnsi="宋体" w:cs="宋体"/>
          <w:color w:val="auto"/>
        </w:rPr>
        <w:t>支持预算调整分析</w:t>
      </w:r>
      <w:bookmarkStart w:id="49" w:name="_Hlk99730247"/>
      <w:r>
        <w:rPr>
          <w:rFonts w:hint="eastAsia" w:ascii="宋体" w:hAnsi="宋体" w:cs="宋体"/>
          <w:color w:val="auto"/>
        </w:rPr>
        <w:t>可支持预算科室和归口科室从指标、事项、项目、科室的维度对预算调整情况进行查询。</w:t>
      </w:r>
      <w:bookmarkEnd w:id="49"/>
    </w:p>
    <w:p w14:paraId="2FF212C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4.3.10 </w:t>
      </w:r>
      <w:r>
        <w:rPr>
          <w:rFonts w:hint="eastAsia" w:ascii="宋体" w:hAnsi="宋体"/>
          <w:b/>
          <w:bCs/>
          <w:color w:val="auto"/>
          <w:sz w:val="21"/>
          <w:szCs w:val="22"/>
          <w:lang w:eastAsia="zh-CN"/>
        </w:rPr>
        <w:t>基础设置</w:t>
      </w:r>
    </w:p>
    <w:p w14:paraId="6C42F9E1">
      <w:pPr>
        <w:spacing w:line="360" w:lineRule="auto"/>
        <w:ind w:firstLine="420" w:firstLineChars="200"/>
        <w:rPr>
          <w:rFonts w:ascii="宋体" w:hAnsi="宋体" w:cs="宋体"/>
          <w:color w:val="auto"/>
        </w:rPr>
      </w:pPr>
      <w:r>
        <w:rPr>
          <w:rFonts w:hint="eastAsia" w:ascii="宋体" w:hAnsi="宋体" w:cs="宋体"/>
          <w:color w:val="auto"/>
        </w:rPr>
        <w:t>支持预算启用、预算指标、事项维护、系统参数、模板设置、文件上传管理等功能。</w:t>
      </w:r>
    </w:p>
    <w:p w14:paraId="43873384">
      <w:pPr>
        <w:numPr>
          <w:ilvl w:val="0"/>
          <w:numId w:val="11"/>
        </w:numPr>
        <w:spacing w:line="360" w:lineRule="auto"/>
        <w:rPr>
          <w:rFonts w:ascii="宋体" w:hAnsi="宋体" w:cs="宋体"/>
          <w:b w:val="0"/>
          <w:bCs w:val="0"/>
          <w:color w:val="auto"/>
        </w:rPr>
      </w:pPr>
      <w:r>
        <w:rPr>
          <w:rFonts w:hint="eastAsia" w:ascii="宋体" w:hAnsi="宋体" w:cs="宋体"/>
          <w:b w:val="0"/>
          <w:bCs w:val="0"/>
          <w:color w:val="auto"/>
        </w:rPr>
        <w:t>参数设置</w:t>
      </w:r>
    </w:p>
    <w:p w14:paraId="1399E306">
      <w:pPr>
        <w:spacing w:line="360" w:lineRule="auto"/>
        <w:ind w:firstLine="420" w:firstLineChars="200"/>
        <w:rPr>
          <w:rFonts w:hint="eastAsia" w:ascii="宋体" w:hAnsi="宋体" w:cs="宋体"/>
          <w:b w:val="0"/>
          <w:bCs w:val="0"/>
          <w:color w:val="auto"/>
        </w:rPr>
      </w:pPr>
      <w:r>
        <w:rPr>
          <w:rFonts w:hint="eastAsia" w:ascii="宋体" w:hAnsi="宋体" w:cs="宋体"/>
          <w:color w:val="auto"/>
        </w:rPr>
        <w:t>设置全面预算管理系统的各类参数，如预算分解层次、预算编制提前月份、预算控制金</w:t>
      </w:r>
      <w:r>
        <w:rPr>
          <w:rFonts w:hint="eastAsia" w:ascii="宋体" w:hAnsi="宋体" w:cs="宋体"/>
          <w:b w:val="0"/>
          <w:bCs w:val="0"/>
          <w:color w:val="auto"/>
        </w:rPr>
        <w:t>额是否显示、各类编码规则等，便于系统进行规则的执行。</w:t>
      </w:r>
    </w:p>
    <w:p w14:paraId="5637480A">
      <w:pPr>
        <w:numPr>
          <w:ilvl w:val="0"/>
          <w:numId w:val="11"/>
        </w:numPr>
        <w:spacing w:line="360" w:lineRule="auto"/>
        <w:rPr>
          <w:rFonts w:hint="eastAsia" w:ascii="宋体" w:hAnsi="宋体" w:cs="宋体"/>
          <w:b w:val="0"/>
          <w:bCs w:val="0"/>
          <w:color w:val="auto"/>
        </w:rPr>
      </w:pPr>
      <w:r>
        <w:rPr>
          <w:rFonts w:hint="eastAsia" w:ascii="宋体" w:hAnsi="宋体" w:cs="宋体"/>
          <w:b w:val="0"/>
          <w:bCs w:val="0"/>
          <w:color w:val="auto"/>
        </w:rPr>
        <w:t>预算指标</w:t>
      </w:r>
    </w:p>
    <w:p w14:paraId="0BB82848">
      <w:pPr>
        <w:spacing w:line="360" w:lineRule="auto"/>
        <w:ind w:firstLine="420" w:firstLineChars="200"/>
        <w:rPr>
          <w:rFonts w:ascii="宋体" w:hAnsi="宋体" w:cs="宋体"/>
          <w:color w:val="auto"/>
        </w:rPr>
      </w:pPr>
      <w:r>
        <w:rPr>
          <w:rFonts w:hint="eastAsia" w:ascii="宋体" w:hAnsi="宋体" w:cs="宋体"/>
          <w:color w:val="auto"/>
        </w:rPr>
        <w:t>增、删、改、查预算指标。</w:t>
      </w:r>
    </w:p>
    <w:p w14:paraId="626210F6">
      <w:pPr>
        <w:numPr>
          <w:ilvl w:val="0"/>
          <w:numId w:val="11"/>
        </w:numPr>
        <w:spacing w:line="360" w:lineRule="auto"/>
        <w:rPr>
          <w:rFonts w:hint="eastAsia" w:ascii="宋体" w:hAnsi="宋体" w:cs="宋体"/>
          <w:b w:val="0"/>
          <w:bCs w:val="0"/>
          <w:color w:val="auto"/>
        </w:rPr>
      </w:pPr>
      <w:r>
        <w:rPr>
          <w:rFonts w:hint="eastAsia" w:ascii="宋体" w:hAnsi="宋体" w:cs="宋体"/>
          <w:b w:val="0"/>
          <w:bCs w:val="0"/>
          <w:color w:val="auto"/>
        </w:rPr>
        <w:t>预算事项</w:t>
      </w:r>
    </w:p>
    <w:p w14:paraId="2887D224">
      <w:pPr>
        <w:spacing w:line="360" w:lineRule="auto"/>
        <w:ind w:firstLine="420" w:firstLineChars="200"/>
        <w:rPr>
          <w:rFonts w:ascii="宋体" w:hAnsi="宋体" w:cs="宋体"/>
          <w:color w:val="auto"/>
        </w:rPr>
      </w:pPr>
      <w:r>
        <w:rPr>
          <w:rFonts w:hint="eastAsia" w:ascii="宋体" w:hAnsi="宋体" w:cs="宋体"/>
          <w:color w:val="auto"/>
        </w:rPr>
        <w:t>维护事项，用于事项样表编制。支持新增、删除、查询等操作。</w:t>
      </w:r>
    </w:p>
    <w:p w14:paraId="654D8816">
      <w:pPr>
        <w:numPr>
          <w:ilvl w:val="0"/>
          <w:numId w:val="11"/>
        </w:numPr>
        <w:spacing w:line="360" w:lineRule="auto"/>
        <w:rPr>
          <w:rFonts w:hint="eastAsia" w:ascii="宋体" w:hAnsi="宋体" w:cs="宋体"/>
          <w:b w:val="0"/>
          <w:bCs w:val="0"/>
          <w:color w:val="auto"/>
        </w:rPr>
      </w:pPr>
      <w:r>
        <w:rPr>
          <w:rFonts w:hint="eastAsia" w:ascii="宋体" w:hAnsi="宋体" w:cs="宋体"/>
          <w:b w:val="0"/>
          <w:bCs w:val="0"/>
          <w:color w:val="auto"/>
        </w:rPr>
        <w:t>文件上传管理</w:t>
      </w:r>
    </w:p>
    <w:p w14:paraId="29CE5177">
      <w:pPr>
        <w:spacing w:line="360" w:lineRule="auto"/>
        <w:ind w:firstLine="420" w:firstLineChars="200"/>
        <w:rPr>
          <w:rFonts w:ascii="宋体" w:hAnsi="宋体" w:cs="宋体"/>
          <w:color w:val="auto"/>
        </w:rPr>
      </w:pPr>
      <w:r>
        <w:rPr>
          <w:rFonts w:hint="eastAsia" w:ascii="宋体" w:hAnsi="宋体" w:cs="宋体"/>
          <w:color w:val="auto"/>
        </w:rPr>
        <w:t>对预算相关的文件进行管理，包括添加文件、发布文件、删除文件等。</w:t>
      </w:r>
    </w:p>
    <w:p w14:paraId="214EBCD4">
      <w:pPr>
        <w:numPr>
          <w:ilvl w:val="0"/>
          <w:numId w:val="11"/>
        </w:numPr>
        <w:spacing w:line="360" w:lineRule="auto"/>
        <w:rPr>
          <w:rFonts w:hint="eastAsia" w:ascii="宋体" w:hAnsi="宋体" w:cs="宋体"/>
          <w:b w:val="0"/>
          <w:bCs w:val="0"/>
          <w:color w:val="auto"/>
        </w:rPr>
      </w:pPr>
      <w:r>
        <w:rPr>
          <w:rFonts w:hint="eastAsia" w:ascii="宋体" w:hAnsi="宋体" w:cs="宋体"/>
          <w:b w:val="0"/>
          <w:bCs w:val="0"/>
          <w:color w:val="auto"/>
        </w:rPr>
        <w:t>申请字典批复</w:t>
      </w:r>
    </w:p>
    <w:p w14:paraId="16F55330">
      <w:pPr>
        <w:spacing w:line="360" w:lineRule="auto"/>
        <w:ind w:firstLine="420" w:firstLineChars="200"/>
        <w:rPr>
          <w:rFonts w:ascii="宋体" w:hAnsi="宋体" w:cs="宋体"/>
          <w:color w:val="auto"/>
        </w:rPr>
      </w:pPr>
      <w:r>
        <w:rPr>
          <w:rFonts w:hint="eastAsia" w:ascii="宋体" w:hAnsi="宋体" w:cs="宋体"/>
          <w:color w:val="auto"/>
        </w:rPr>
        <w:t>用于科室新增预算事项审批及驳回。</w:t>
      </w:r>
    </w:p>
    <w:p w14:paraId="6D6E0464">
      <w:pPr>
        <w:pStyle w:val="3"/>
        <w:numPr>
          <w:ilvl w:val="-1"/>
          <w:numId w:val="0"/>
        </w:numPr>
        <w:spacing w:line="360" w:lineRule="auto"/>
        <w:ind w:left="0" w:firstLine="0"/>
        <w:rPr>
          <w:rFonts w:ascii="宋体" w:hAnsi="宋体" w:cs="宋体"/>
          <w:color w:val="auto"/>
          <w:sz w:val="28"/>
          <w:szCs w:val="28"/>
        </w:rPr>
      </w:pPr>
      <w:bookmarkStart w:id="50" w:name="_Toc151127656"/>
      <w:bookmarkStart w:id="51" w:name="_Toc17798"/>
      <w:bookmarkStart w:id="52" w:name="_Toc23161"/>
      <w:bookmarkStart w:id="53" w:name="_Toc198885089"/>
      <w:bookmarkStart w:id="54" w:name="_Toc31451"/>
      <w:bookmarkStart w:id="55" w:name="_Toc863"/>
      <w:bookmarkStart w:id="56" w:name="_Toc99655229"/>
      <w:r>
        <w:rPr>
          <w:rFonts w:hint="eastAsia" w:ascii="宋体" w:hAnsi="宋体" w:cs="宋体"/>
          <w:color w:val="auto"/>
          <w:sz w:val="28"/>
          <w:szCs w:val="28"/>
          <w:lang w:val="en-US" w:eastAsia="zh-CN"/>
        </w:rPr>
        <w:t xml:space="preserve">4.4 </w:t>
      </w:r>
      <w:r>
        <w:rPr>
          <w:rFonts w:hint="eastAsia" w:ascii="宋体" w:hAnsi="宋体" w:cs="宋体"/>
          <w:color w:val="auto"/>
          <w:sz w:val="28"/>
          <w:szCs w:val="28"/>
        </w:rPr>
        <w:t>科室成本管理系统</w:t>
      </w:r>
      <w:bookmarkEnd w:id="50"/>
      <w:bookmarkEnd w:id="51"/>
      <w:bookmarkEnd w:id="52"/>
      <w:bookmarkEnd w:id="53"/>
      <w:bookmarkEnd w:id="54"/>
      <w:bookmarkEnd w:id="55"/>
    </w:p>
    <w:p w14:paraId="025A609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4.4.1 </w:t>
      </w:r>
      <w:r>
        <w:rPr>
          <w:rFonts w:hint="eastAsia" w:ascii="宋体" w:hAnsi="宋体"/>
          <w:b/>
          <w:bCs/>
          <w:color w:val="auto"/>
          <w:sz w:val="21"/>
          <w:szCs w:val="22"/>
          <w:lang w:eastAsia="zh-CN"/>
        </w:rPr>
        <w:t>具备基础数据维护功能</w:t>
      </w:r>
    </w:p>
    <w:p w14:paraId="580FD1B7">
      <w:pPr>
        <w:spacing w:line="360" w:lineRule="auto"/>
        <w:ind w:firstLine="420" w:firstLineChars="200"/>
        <w:rPr>
          <w:rFonts w:ascii="宋体" w:hAnsi="宋体" w:cs="宋体"/>
          <w:color w:val="auto"/>
        </w:rPr>
      </w:pPr>
      <w:r>
        <w:rPr>
          <w:rFonts w:hint="eastAsia" w:ascii="宋体" w:hAnsi="宋体" w:cs="宋体"/>
          <w:color w:val="auto"/>
        </w:rPr>
        <w:t>系统需具备基础数据维护功能，包括收入数据、成本数据、工作量数据、其他数据等。</w:t>
      </w:r>
    </w:p>
    <w:p w14:paraId="5B252AF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4.4.2 </w:t>
      </w:r>
      <w:r>
        <w:rPr>
          <w:rFonts w:hint="eastAsia" w:ascii="宋体" w:hAnsi="宋体"/>
          <w:b/>
          <w:bCs/>
          <w:color w:val="auto"/>
          <w:sz w:val="21"/>
          <w:szCs w:val="22"/>
          <w:lang w:eastAsia="zh-CN"/>
        </w:rPr>
        <w:t>成本归集管理</w:t>
      </w:r>
    </w:p>
    <w:p w14:paraId="4A4902FE">
      <w:pPr>
        <w:spacing w:line="360" w:lineRule="auto"/>
        <w:ind w:firstLine="420" w:firstLineChars="200"/>
        <w:rPr>
          <w:rFonts w:ascii="宋体" w:hAnsi="宋体" w:cs="宋体"/>
          <w:color w:val="auto"/>
        </w:rPr>
      </w:pPr>
      <w:r>
        <w:rPr>
          <w:rFonts w:hint="eastAsia" w:ascii="宋体" w:hAnsi="宋体" w:cs="宋体"/>
          <w:color w:val="auto"/>
        </w:rPr>
        <w:t>支持根据对应关系自动对成本进行归集的功能，归集过程中可提供成本数据与成本总账的校验功能。</w:t>
      </w:r>
    </w:p>
    <w:p w14:paraId="415A9A2C">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4.4.3 </w:t>
      </w:r>
      <w:r>
        <w:rPr>
          <w:rFonts w:hint="eastAsia" w:ascii="宋体" w:hAnsi="宋体"/>
          <w:b/>
          <w:bCs/>
          <w:color w:val="auto"/>
          <w:sz w:val="21"/>
          <w:szCs w:val="22"/>
          <w:lang w:eastAsia="zh-CN"/>
        </w:rPr>
        <w:t>二次分配管理</w:t>
      </w:r>
    </w:p>
    <w:p w14:paraId="26F78677">
      <w:pPr>
        <w:spacing w:line="360" w:lineRule="auto"/>
        <w:ind w:firstLine="420" w:firstLineChars="200"/>
        <w:rPr>
          <w:rFonts w:ascii="宋体" w:hAnsi="宋体" w:cs="宋体"/>
          <w:color w:val="auto"/>
        </w:rPr>
      </w:pPr>
      <w:r>
        <w:rPr>
          <w:rFonts w:hint="eastAsia" w:ascii="宋体" w:hAnsi="宋体" w:cs="宋体"/>
          <w:color w:val="auto"/>
        </w:rPr>
        <w:t>支持对成本的二次分配管理，可根据管理需要灵活设定分配和归集的先后顺序，可根据分配规则自动对成本进行分配。</w:t>
      </w:r>
    </w:p>
    <w:p w14:paraId="1DF06ED9">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4.4.4 </w:t>
      </w:r>
      <w:r>
        <w:rPr>
          <w:rFonts w:hint="eastAsia" w:ascii="宋体" w:hAnsi="宋体"/>
          <w:b/>
          <w:bCs/>
          <w:color w:val="auto"/>
          <w:sz w:val="21"/>
          <w:szCs w:val="22"/>
          <w:lang w:eastAsia="zh-CN"/>
        </w:rPr>
        <w:t>核算模型管理</w:t>
      </w:r>
    </w:p>
    <w:p w14:paraId="2B220D86">
      <w:pPr>
        <w:spacing w:line="360" w:lineRule="auto"/>
        <w:ind w:firstLine="420" w:firstLineChars="200"/>
        <w:rPr>
          <w:rFonts w:ascii="宋体" w:hAnsi="宋体" w:cs="宋体"/>
          <w:color w:val="auto"/>
        </w:rPr>
      </w:pPr>
      <w:r>
        <w:rPr>
          <w:rFonts w:hint="eastAsia" w:ascii="宋体" w:hAnsi="宋体" w:cs="宋体"/>
          <w:color w:val="auto"/>
        </w:rPr>
        <w:t>核算模型需支持成本要素的分配方法，科室之间的定向关系设置以及科室院区之间的分摊关系管理。</w:t>
      </w:r>
    </w:p>
    <w:p w14:paraId="2559F1DF">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4.4.5 </w:t>
      </w:r>
      <w:r>
        <w:rPr>
          <w:rFonts w:hint="eastAsia" w:ascii="宋体" w:hAnsi="宋体"/>
          <w:b/>
          <w:bCs/>
          <w:color w:val="auto"/>
          <w:sz w:val="21"/>
          <w:szCs w:val="22"/>
          <w:lang w:eastAsia="zh-CN"/>
        </w:rPr>
        <w:t>分摊计算管理</w:t>
      </w:r>
    </w:p>
    <w:p w14:paraId="46233428">
      <w:pPr>
        <w:spacing w:line="360" w:lineRule="auto"/>
        <w:ind w:firstLine="420" w:firstLineChars="200"/>
        <w:rPr>
          <w:rFonts w:ascii="宋体" w:hAnsi="宋体" w:cs="宋体"/>
          <w:color w:val="auto"/>
        </w:rPr>
      </w:pPr>
      <w:r>
        <w:rPr>
          <w:rFonts w:hint="eastAsia" w:ascii="宋体" w:hAnsi="宋体" w:cs="宋体"/>
          <w:color w:val="auto"/>
        </w:rPr>
        <w:t>要求按照《公立医院成本核算规范》（国卫财务发（2021）4号）规定的“三级四类分摊法”对成本数据进行分摊，完成全成本核算工作，并能提供对医疗业务成本、医疗成本、医疗全成本、医院全成本的处理，分摊管理支持同一科室不同成本要素按不同的动因进行分摊，支持同级分摊、定向分摊，支持对分摊数据进行校验，确保分摊结果的准确性。</w:t>
      </w:r>
    </w:p>
    <w:p w14:paraId="25068EF7">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4.4.6 </w:t>
      </w:r>
      <w:r>
        <w:rPr>
          <w:rFonts w:hint="eastAsia" w:ascii="宋体" w:hAnsi="宋体"/>
          <w:b/>
          <w:bCs/>
          <w:color w:val="auto"/>
          <w:sz w:val="21"/>
          <w:szCs w:val="22"/>
          <w:lang w:eastAsia="zh-CN"/>
        </w:rPr>
        <w:t>成本报表功能</w:t>
      </w:r>
    </w:p>
    <w:p w14:paraId="5F5AFA67">
      <w:pPr>
        <w:pStyle w:val="11"/>
        <w:spacing w:line="360" w:lineRule="auto"/>
        <w:rPr>
          <w:rFonts w:ascii="宋体" w:hAnsi="宋体" w:cs="宋体"/>
          <w:color w:val="auto"/>
          <w:sz w:val="28"/>
          <w:szCs w:val="28"/>
        </w:rPr>
      </w:pPr>
      <w:r>
        <w:rPr>
          <w:rFonts w:hint="eastAsia" w:ascii="宋体" w:hAnsi="宋体" w:cs="宋体"/>
          <w:color w:val="auto"/>
        </w:rPr>
        <w:t>支持公立医院10成本管理报表的自动生成，支持报表自定义功能即满足用户根据自己的需求，设计报表样式和数据内容，并生成报表进行导出、打印等功能，形成采购方客户的个性化需求报表。</w:t>
      </w:r>
    </w:p>
    <w:p w14:paraId="16D36BCB">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4.4.7 </w:t>
      </w:r>
      <w:r>
        <w:rPr>
          <w:rFonts w:hint="eastAsia" w:ascii="宋体" w:hAnsi="宋体"/>
          <w:b/>
          <w:bCs/>
          <w:color w:val="auto"/>
          <w:sz w:val="21"/>
          <w:szCs w:val="22"/>
          <w:lang w:eastAsia="zh-CN"/>
        </w:rPr>
        <w:t>成本分析功能</w:t>
      </w:r>
    </w:p>
    <w:p w14:paraId="535D591D">
      <w:pPr>
        <w:spacing w:line="360" w:lineRule="auto"/>
        <w:ind w:firstLine="420" w:firstLineChars="200"/>
        <w:rPr>
          <w:rFonts w:ascii="宋体" w:hAnsi="宋体" w:cs="宋体"/>
          <w:color w:val="auto"/>
        </w:rPr>
      </w:pPr>
      <w:r>
        <w:rPr>
          <w:rFonts w:hint="eastAsia" w:ascii="宋体" w:hAnsi="宋体" w:cs="宋体"/>
          <w:color w:val="auto"/>
        </w:rPr>
        <w:t>可提供收支余分析、科室分析、本量利分析、人力、耗材专题分析等综合分析功能。</w:t>
      </w:r>
    </w:p>
    <w:p w14:paraId="0DAAD35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4.4.8 </w:t>
      </w:r>
      <w:r>
        <w:rPr>
          <w:rFonts w:hint="eastAsia" w:ascii="宋体" w:hAnsi="宋体"/>
          <w:b/>
          <w:bCs/>
          <w:color w:val="auto"/>
          <w:sz w:val="21"/>
          <w:szCs w:val="22"/>
          <w:lang w:eastAsia="zh-CN"/>
        </w:rPr>
        <w:t>基础设置功能</w:t>
      </w:r>
    </w:p>
    <w:p w14:paraId="1FF7AF2D">
      <w:pPr>
        <w:spacing w:line="360" w:lineRule="auto"/>
        <w:ind w:firstLine="420" w:firstLineChars="200"/>
        <w:rPr>
          <w:rFonts w:ascii="宋体" w:hAnsi="宋体" w:cs="宋体"/>
          <w:color w:val="auto"/>
        </w:rPr>
      </w:pPr>
      <w:r>
        <w:rPr>
          <w:rFonts w:hint="eastAsia" w:ascii="宋体" w:hAnsi="宋体" w:cs="宋体"/>
          <w:color w:val="auto"/>
        </w:rPr>
        <w:t>支持科室成本相关的参数配置、字典设置、业务项与成本项之间的对应关系设置以及相关校验规则的设置等。</w:t>
      </w:r>
    </w:p>
    <w:p w14:paraId="43B203AB">
      <w:pPr>
        <w:pStyle w:val="3"/>
        <w:numPr>
          <w:ilvl w:val="-1"/>
          <w:numId w:val="0"/>
        </w:numPr>
        <w:spacing w:line="360" w:lineRule="auto"/>
        <w:ind w:left="0" w:firstLine="0"/>
        <w:rPr>
          <w:rFonts w:ascii="宋体" w:hAnsi="宋体" w:cs="宋体"/>
          <w:color w:val="auto"/>
          <w:sz w:val="28"/>
          <w:szCs w:val="28"/>
        </w:rPr>
      </w:pPr>
      <w:bookmarkStart w:id="57" w:name="_Toc26211"/>
      <w:bookmarkStart w:id="58" w:name="_Toc151127657"/>
      <w:bookmarkStart w:id="59" w:name="_Toc198885090"/>
      <w:bookmarkStart w:id="60" w:name="_Toc4219"/>
      <w:bookmarkStart w:id="61" w:name="_Toc12930"/>
      <w:bookmarkStart w:id="62" w:name="_Toc4792"/>
      <w:r>
        <w:rPr>
          <w:rFonts w:hint="eastAsia" w:ascii="宋体" w:hAnsi="宋体" w:cs="宋体"/>
          <w:color w:val="auto"/>
          <w:sz w:val="28"/>
          <w:szCs w:val="28"/>
          <w:lang w:val="en-US" w:eastAsia="zh-CN"/>
        </w:rPr>
        <w:t xml:space="preserve">4.5 </w:t>
      </w:r>
      <w:r>
        <w:rPr>
          <w:rFonts w:hint="eastAsia" w:ascii="宋体" w:hAnsi="宋体" w:cs="宋体"/>
          <w:color w:val="auto"/>
          <w:sz w:val="28"/>
          <w:szCs w:val="28"/>
        </w:rPr>
        <w:t>医疗服务项目成本管理系统</w:t>
      </w:r>
      <w:bookmarkEnd w:id="57"/>
      <w:bookmarkEnd w:id="58"/>
      <w:bookmarkEnd w:id="59"/>
      <w:bookmarkEnd w:id="60"/>
      <w:bookmarkEnd w:id="61"/>
      <w:bookmarkEnd w:id="62"/>
    </w:p>
    <w:p w14:paraId="10C679C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4.5.1 </w:t>
      </w:r>
      <w:r>
        <w:rPr>
          <w:rFonts w:hint="eastAsia" w:ascii="宋体" w:hAnsi="宋体"/>
          <w:b/>
          <w:bCs/>
          <w:color w:val="auto"/>
          <w:sz w:val="21"/>
          <w:szCs w:val="22"/>
          <w:lang w:eastAsia="zh-CN"/>
        </w:rPr>
        <w:t>具备基础数据维护功能</w:t>
      </w:r>
    </w:p>
    <w:p w14:paraId="64BB6562">
      <w:pPr>
        <w:spacing w:line="360" w:lineRule="auto"/>
        <w:ind w:firstLine="420" w:firstLineChars="200"/>
        <w:rPr>
          <w:rFonts w:ascii="宋体" w:hAnsi="宋体" w:cs="宋体"/>
          <w:color w:val="auto"/>
        </w:rPr>
      </w:pPr>
      <w:r>
        <w:rPr>
          <w:rFonts w:hint="eastAsia" w:ascii="宋体" w:hAnsi="宋体" w:cs="宋体"/>
          <w:color w:val="auto"/>
        </w:rPr>
        <w:t>系统需具备基础数据维护功能，包括收入数据、成本数据、其他数据等。</w:t>
      </w:r>
    </w:p>
    <w:p w14:paraId="0CF37A71">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4.5.2</w:t>
      </w:r>
      <w:r>
        <w:rPr>
          <w:rFonts w:hint="eastAsia" w:ascii="宋体" w:hAnsi="宋体"/>
          <w:b/>
          <w:bCs/>
          <w:color w:val="auto"/>
          <w:sz w:val="21"/>
          <w:szCs w:val="22"/>
          <w:lang w:eastAsia="zh-CN"/>
        </w:rPr>
        <w:t>核算方法与核算模型</w:t>
      </w:r>
    </w:p>
    <w:p w14:paraId="09E45D74">
      <w:pPr>
        <w:spacing w:line="360" w:lineRule="auto"/>
        <w:ind w:firstLine="420" w:firstLineChars="200"/>
        <w:rPr>
          <w:rFonts w:ascii="宋体" w:hAnsi="宋体" w:cs="宋体"/>
          <w:color w:val="auto"/>
        </w:rPr>
      </w:pPr>
      <w:r>
        <w:rPr>
          <w:rFonts w:hint="eastAsia" w:ascii="宋体" w:hAnsi="宋体" w:cs="宋体"/>
          <w:color w:val="auto"/>
        </w:rPr>
        <w:t>项目成本核算方法需支持作业成本法、比例系数法、成本当量法。</w:t>
      </w:r>
    </w:p>
    <w:p w14:paraId="4D76159B">
      <w:pPr>
        <w:spacing w:line="360" w:lineRule="auto"/>
        <w:ind w:firstLine="420" w:firstLineChars="200"/>
        <w:rPr>
          <w:rFonts w:ascii="宋体" w:hAnsi="宋体" w:cs="宋体"/>
          <w:color w:val="auto"/>
        </w:rPr>
      </w:pPr>
      <w:r>
        <w:rPr>
          <w:rFonts w:hint="eastAsia" w:ascii="宋体" w:hAnsi="宋体" w:cs="宋体"/>
          <w:color w:val="auto"/>
        </w:rPr>
        <w:t>可根据核算方法的不同搭建不同的核算模型，支持作业成本法、比例系数法、成本当量法，可进行直接成本和间接成本核算模型的搭建，作业成本法支持引用作业成本知识库，体现某科室某服务项目的人工配备、材料消耗、设备配置等资源消耗因素；成本当量法支持项目当量值的设置。</w:t>
      </w:r>
    </w:p>
    <w:p w14:paraId="23EC037F">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4.5.3</w:t>
      </w:r>
      <w:r>
        <w:rPr>
          <w:rFonts w:hint="eastAsia" w:ascii="宋体" w:hAnsi="宋体"/>
          <w:b/>
          <w:bCs/>
          <w:color w:val="auto"/>
          <w:sz w:val="21"/>
          <w:szCs w:val="22"/>
          <w:lang w:eastAsia="zh-CN"/>
        </w:rPr>
        <w:t>具备成本计算功能</w:t>
      </w:r>
    </w:p>
    <w:p w14:paraId="09FFA81C">
      <w:pPr>
        <w:spacing w:line="360" w:lineRule="auto"/>
        <w:ind w:firstLine="420" w:firstLineChars="200"/>
        <w:rPr>
          <w:rFonts w:ascii="宋体" w:hAnsi="宋体" w:cs="宋体"/>
          <w:color w:val="auto"/>
        </w:rPr>
      </w:pPr>
      <w:r>
        <w:rPr>
          <w:rFonts w:hint="eastAsia" w:ascii="宋体" w:hAnsi="宋体" w:cs="宋体"/>
          <w:color w:val="auto"/>
        </w:rPr>
        <w:t>具备使用作业成本法、比例系数法、成本当量法进行实际成本的计算功能。</w:t>
      </w:r>
    </w:p>
    <w:p w14:paraId="1E4D9996">
      <w:pPr>
        <w:spacing w:line="360" w:lineRule="auto"/>
        <w:ind w:firstLine="420" w:firstLineChars="200"/>
        <w:rPr>
          <w:rFonts w:ascii="宋体" w:hAnsi="宋体" w:cs="宋体"/>
          <w:color w:val="auto"/>
        </w:rPr>
      </w:pPr>
      <w:r>
        <w:rPr>
          <w:rFonts w:hint="eastAsia" w:ascii="宋体" w:hAnsi="宋体" w:cs="宋体"/>
          <w:color w:val="auto"/>
        </w:rPr>
        <w:t>使用作业成本法对医疗服务项目的间接成本进行分摊时，分摊过程分为：资源成本分配和作业成本分配。支持按不同的成本性态（如固定成本、变动成本）进行分析。</w:t>
      </w:r>
    </w:p>
    <w:p w14:paraId="3EF0D41C">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4.5.4</w:t>
      </w:r>
      <w:r>
        <w:rPr>
          <w:rFonts w:hint="eastAsia" w:ascii="宋体" w:hAnsi="宋体"/>
          <w:b/>
          <w:bCs/>
          <w:color w:val="auto"/>
          <w:sz w:val="21"/>
          <w:szCs w:val="22"/>
          <w:lang w:eastAsia="zh-CN"/>
        </w:rPr>
        <w:t>成本报表</w:t>
      </w:r>
    </w:p>
    <w:p w14:paraId="40455682">
      <w:pPr>
        <w:spacing w:line="360" w:lineRule="auto"/>
        <w:ind w:firstLine="420" w:firstLineChars="200"/>
        <w:rPr>
          <w:rFonts w:ascii="宋体" w:hAnsi="宋体" w:cs="宋体"/>
          <w:color w:val="auto"/>
        </w:rPr>
      </w:pPr>
      <w:r>
        <w:rPr>
          <w:rFonts w:hint="eastAsia" w:ascii="宋体" w:hAnsi="宋体" w:cs="宋体"/>
          <w:color w:val="auto"/>
        </w:rPr>
        <w:t>成本报表需支持公立医院医疗服务项目成本2张报表自动生成，包括医院医疗服务项目成本汇总表、医院医疗服务项目成本明细表。</w:t>
      </w:r>
    </w:p>
    <w:p w14:paraId="1E414C38">
      <w:pPr>
        <w:spacing w:line="360" w:lineRule="auto"/>
        <w:ind w:firstLine="420" w:firstLineChars="200"/>
        <w:rPr>
          <w:rFonts w:ascii="宋体" w:hAnsi="宋体" w:cs="宋体"/>
          <w:color w:val="auto"/>
        </w:rPr>
      </w:pPr>
      <w:r>
        <w:rPr>
          <w:rFonts w:hint="eastAsia" w:ascii="宋体" w:hAnsi="宋体" w:cs="宋体"/>
          <w:color w:val="auto"/>
        </w:rPr>
        <w:t>成本报表需支持从成本收益、成本分析、成本结构、成本控制等角度对项目成本核算结果进行分析。</w:t>
      </w:r>
    </w:p>
    <w:p w14:paraId="74E3B78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4.5.5</w:t>
      </w:r>
      <w:r>
        <w:rPr>
          <w:rFonts w:hint="eastAsia" w:ascii="宋体" w:hAnsi="宋体"/>
          <w:b/>
          <w:bCs/>
          <w:color w:val="auto"/>
          <w:sz w:val="21"/>
          <w:szCs w:val="22"/>
          <w:lang w:eastAsia="zh-CN"/>
        </w:rPr>
        <w:t>成本分析</w:t>
      </w:r>
    </w:p>
    <w:p w14:paraId="3944165B">
      <w:pPr>
        <w:spacing w:line="360" w:lineRule="auto"/>
        <w:ind w:firstLine="420" w:firstLineChars="200"/>
        <w:rPr>
          <w:rFonts w:ascii="宋体" w:hAnsi="宋体" w:cs="宋体"/>
          <w:color w:val="auto"/>
        </w:rPr>
      </w:pPr>
      <w:r>
        <w:rPr>
          <w:rFonts w:hint="eastAsia" w:ascii="宋体" w:hAnsi="宋体" w:cs="宋体"/>
          <w:color w:val="auto"/>
        </w:rPr>
        <w:t>成本分析需支持资源效率分析、院级和科级项目成本分析、项目保本分析等。</w:t>
      </w:r>
    </w:p>
    <w:p w14:paraId="2616EC1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4.5.6</w:t>
      </w:r>
      <w:r>
        <w:rPr>
          <w:rFonts w:hint="eastAsia" w:ascii="宋体" w:hAnsi="宋体"/>
          <w:b/>
          <w:bCs/>
          <w:color w:val="auto"/>
          <w:sz w:val="21"/>
          <w:szCs w:val="22"/>
          <w:lang w:eastAsia="zh-CN"/>
        </w:rPr>
        <w:t>基础设置功能</w:t>
      </w:r>
    </w:p>
    <w:p w14:paraId="7F0205BD">
      <w:pPr>
        <w:spacing w:line="360" w:lineRule="auto"/>
        <w:ind w:firstLine="420" w:firstLineChars="200"/>
        <w:rPr>
          <w:rFonts w:ascii="宋体" w:hAnsi="宋体" w:cs="宋体"/>
          <w:color w:val="auto"/>
        </w:rPr>
      </w:pPr>
      <w:r>
        <w:rPr>
          <w:rFonts w:hint="eastAsia" w:ascii="宋体" w:hAnsi="宋体" w:cs="宋体"/>
          <w:color w:val="auto"/>
        </w:rPr>
        <w:t>基础设置需支持人员工资、物资成本和资产成本的计算方式设置以及核算科室、收费项目、科室作业等关系设置。</w:t>
      </w:r>
    </w:p>
    <w:p w14:paraId="4F7AFE87">
      <w:pPr>
        <w:pStyle w:val="3"/>
        <w:numPr>
          <w:ilvl w:val="-1"/>
          <w:numId w:val="0"/>
        </w:numPr>
        <w:spacing w:line="360" w:lineRule="auto"/>
        <w:ind w:left="0" w:firstLine="0"/>
        <w:rPr>
          <w:rFonts w:hint="eastAsia" w:ascii="宋体" w:hAnsi="宋体" w:cs="宋体"/>
          <w:color w:val="auto"/>
          <w:sz w:val="28"/>
          <w:szCs w:val="28"/>
        </w:rPr>
      </w:pPr>
      <w:bookmarkStart w:id="63" w:name="_Toc4712"/>
      <w:bookmarkStart w:id="64" w:name="_Toc198885091"/>
      <w:bookmarkStart w:id="65" w:name="_Toc15573"/>
      <w:bookmarkStart w:id="66" w:name="_Toc21073"/>
      <w:bookmarkStart w:id="67" w:name="_Toc9359"/>
      <w:bookmarkStart w:id="68" w:name="_Toc151127658"/>
      <w:r>
        <w:rPr>
          <w:rFonts w:hint="eastAsia" w:ascii="宋体" w:hAnsi="宋体" w:cs="宋体"/>
          <w:color w:val="auto"/>
          <w:sz w:val="28"/>
          <w:szCs w:val="28"/>
          <w:lang w:val="en-US" w:eastAsia="zh-CN"/>
        </w:rPr>
        <w:t xml:space="preserve">4.6 </w:t>
      </w:r>
      <w:r>
        <w:rPr>
          <w:rFonts w:hint="eastAsia" w:ascii="宋体" w:hAnsi="宋体" w:cs="宋体"/>
          <w:color w:val="auto"/>
          <w:sz w:val="28"/>
          <w:szCs w:val="28"/>
        </w:rPr>
        <w:t>DIP成本（叠加法）管理系统</w:t>
      </w:r>
      <w:bookmarkEnd w:id="63"/>
      <w:bookmarkEnd w:id="64"/>
      <w:bookmarkEnd w:id="65"/>
      <w:bookmarkEnd w:id="66"/>
      <w:bookmarkEnd w:id="67"/>
    </w:p>
    <w:p w14:paraId="564F355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4.6.1 </w:t>
      </w:r>
      <w:r>
        <w:rPr>
          <w:rFonts w:hint="eastAsia" w:ascii="宋体" w:hAnsi="宋体"/>
          <w:b/>
          <w:bCs/>
          <w:color w:val="auto"/>
          <w:sz w:val="21"/>
          <w:szCs w:val="22"/>
          <w:lang w:eastAsia="zh-CN"/>
        </w:rPr>
        <w:t>基础数据</w:t>
      </w:r>
    </w:p>
    <w:p w14:paraId="43A9AD88">
      <w:pPr>
        <w:spacing w:line="360" w:lineRule="auto"/>
        <w:ind w:firstLine="420" w:firstLineChars="200"/>
        <w:rPr>
          <w:rFonts w:ascii="宋体" w:hAnsi="宋体" w:cs="宋体"/>
          <w:color w:val="auto"/>
        </w:rPr>
      </w:pPr>
      <w:r>
        <w:rPr>
          <w:rFonts w:hint="eastAsia" w:ascii="宋体" w:hAnsi="宋体" w:cs="宋体"/>
          <w:color w:val="auto"/>
        </w:rPr>
        <w:t>支持首页数据管理和病例收费明细数据管理，具体需包括病人病案首页数据、收费明细数据，病例分组数据、费用结算明细数据采集、查询等功能。</w:t>
      </w:r>
    </w:p>
    <w:p w14:paraId="25E65ACF">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4.6.2 </w:t>
      </w:r>
      <w:r>
        <w:rPr>
          <w:rFonts w:hint="eastAsia" w:ascii="宋体" w:hAnsi="宋体"/>
          <w:b/>
          <w:bCs/>
          <w:color w:val="auto"/>
          <w:sz w:val="21"/>
          <w:szCs w:val="22"/>
          <w:lang w:eastAsia="zh-CN"/>
        </w:rPr>
        <w:t>核算方案管理</w:t>
      </w:r>
    </w:p>
    <w:p w14:paraId="2AAE77F7">
      <w:pPr>
        <w:spacing w:line="360" w:lineRule="auto"/>
        <w:ind w:firstLine="420" w:firstLineChars="200"/>
        <w:rPr>
          <w:rFonts w:ascii="宋体" w:hAnsi="宋体" w:cs="宋体"/>
          <w:color w:val="auto"/>
        </w:rPr>
      </w:pPr>
      <w:r>
        <w:rPr>
          <w:rFonts w:hint="eastAsia" w:ascii="宋体" w:hAnsi="宋体" w:cs="宋体"/>
          <w:color w:val="auto"/>
        </w:rPr>
        <w:t>支持定义核算方案的起止时间、对应的项目成本核算方案、对应病例的筛选等功能，病例筛选内容要包括住院号、患者姓名、出院科室、出院时间等。</w:t>
      </w:r>
    </w:p>
    <w:p w14:paraId="2A58F33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4.6.3 </w:t>
      </w:r>
      <w:r>
        <w:rPr>
          <w:rFonts w:hint="eastAsia" w:ascii="宋体" w:hAnsi="宋体"/>
          <w:b/>
          <w:bCs/>
          <w:color w:val="auto"/>
          <w:sz w:val="21"/>
          <w:szCs w:val="22"/>
          <w:lang w:eastAsia="zh-CN"/>
        </w:rPr>
        <w:t>DIP成本计算</w:t>
      </w:r>
    </w:p>
    <w:p w14:paraId="1684A5EF">
      <w:pPr>
        <w:spacing w:line="360" w:lineRule="auto"/>
        <w:ind w:firstLine="420" w:firstLineChars="200"/>
        <w:rPr>
          <w:rFonts w:ascii="宋体" w:hAnsi="宋体" w:cs="宋体"/>
          <w:color w:val="auto"/>
          <w:sz w:val="28"/>
          <w:szCs w:val="28"/>
        </w:rPr>
      </w:pPr>
      <w:r>
        <w:rPr>
          <w:rFonts w:hint="eastAsia" w:ascii="宋体" w:hAnsi="宋体" w:cs="宋体"/>
          <w:color w:val="auto"/>
        </w:rPr>
        <w:t>支持项目叠加的自下而上法对病人病例成本、科室DIP成本、全院DIP成本进行计算、查询。</w:t>
      </w:r>
    </w:p>
    <w:p w14:paraId="06CA5D59">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4.6.4 </w:t>
      </w:r>
      <w:r>
        <w:rPr>
          <w:rFonts w:hint="eastAsia" w:ascii="宋体" w:hAnsi="宋体"/>
          <w:b/>
          <w:bCs/>
          <w:color w:val="auto"/>
          <w:sz w:val="21"/>
          <w:szCs w:val="22"/>
          <w:lang w:eastAsia="zh-CN"/>
        </w:rPr>
        <w:t>成本报表</w:t>
      </w:r>
    </w:p>
    <w:p w14:paraId="62BBDB07">
      <w:pPr>
        <w:spacing w:line="360" w:lineRule="auto"/>
        <w:ind w:firstLine="420" w:firstLineChars="200"/>
        <w:rPr>
          <w:rFonts w:ascii="宋体" w:hAnsi="宋体" w:cs="宋体"/>
          <w:color w:val="auto"/>
        </w:rPr>
      </w:pPr>
      <w:r>
        <w:rPr>
          <w:rFonts w:hint="eastAsia" w:ascii="宋体" w:hAnsi="宋体" w:cs="宋体"/>
          <w:color w:val="auto"/>
        </w:rPr>
        <w:t xml:space="preserve"> 支持公立医院病种成本2张报表自动生成，包括医院病种成本明细表、医院病种成本构成明细表。</w:t>
      </w:r>
    </w:p>
    <w:p w14:paraId="07DC7A6D">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4.6.5 </w:t>
      </w:r>
      <w:r>
        <w:rPr>
          <w:rFonts w:hint="eastAsia" w:ascii="宋体" w:hAnsi="宋体"/>
          <w:b/>
          <w:bCs/>
          <w:color w:val="auto"/>
          <w:sz w:val="21"/>
          <w:szCs w:val="22"/>
          <w:lang w:eastAsia="zh-CN"/>
        </w:rPr>
        <w:t>DIP成本分析</w:t>
      </w:r>
    </w:p>
    <w:p w14:paraId="447994D9">
      <w:pPr>
        <w:spacing w:line="360" w:lineRule="auto"/>
        <w:ind w:firstLine="420" w:firstLineChars="200"/>
        <w:rPr>
          <w:rFonts w:ascii="宋体" w:hAnsi="宋体" w:cs="宋体"/>
          <w:color w:val="auto"/>
        </w:rPr>
      </w:pPr>
      <w:r>
        <w:rPr>
          <w:rFonts w:hint="eastAsia" w:ascii="宋体" w:hAnsi="宋体" w:cs="宋体"/>
          <w:color w:val="auto"/>
        </w:rPr>
        <w:t>支持对DIP成本进行构成分析、趋势分析、收益分析、对比分析。</w:t>
      </w:r>
    </w:p>
    <w:p w14:paraId="125AE71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4.6.6 </w:t>
      </w:r>
      <w:r>
        <w:rPr>
          <w:rFonts w:hint="eastAsia" w:ascii="宋体" w:hAnsi="宋体"/>
          <w:b/>
          <w:bCs/>
          <w:color w:val="auto"/>
          <w:sz w:val="21"/>
          <w:szCs w:val="22"/>
          <w:lang w:eastAsia="zh-CN"/>
        </w:rPr>
        <w:t>基础设置功能</w:t>
      </w:r>
    </w:p>
    <w:p w14:paraId="217B13E1">
      <w:pPr>
        <w:spacing w:line="360" w:lineRule="auto"/>
        <w:ind w:firstLine="420" w:firstLineChars="200"/>
        <w:rPr>
          <w:rFonts w:ascii="宋体" w:hAnsi="宋体" w:cs="宋体"/>
          <w:color w:val="auto"/>
        </w:rPr>
      </w:pPr>
      <w:r>
        <w:rPr>
          <w:rFonts w:hint="eastAsia" w:ascii="宋体" w:hAnsi="宋体" w:cs="宋体"/>
          <w:color w:val="auto"/>
        </w:rPr>
        <w:t>支持DIP成本核算相关的参数设置，包括：是否启用多院区、药品管理成本分摊依据以及加成率设置等。</w:t>
      </w:r>
    </w:p>
    <w:p w14:paraId="3C913597">
      <w:pPr>
        <w:pStyle w:val="15"/>
        <w:rPr>
          <w:color w:val="auto"/>
        </w:rPr>
      </w:pPr>
    </w:p>
    <w:bookmarkEnd w:id="68"/>
    <w:p w14:paraId="07097536">
      <w:pPr>
        <w:pStyle w:val="3"/>
        <w:numPr>
          <w:ilvl w:val="-1"/>
          <w:numId w:val="0"/>
        </w:numPr>
        <w:spacing w:before="0" w:after="0" w:line="360" w:lineRule="auto"/>
        <w:ind w:left="0" w:firstLine="0"/>
        <w:jc w:val="left"/>
        <w:rPr>
          <w:rFonts w:hint="eastAsia" w:ascii="宋体" w:hAnsi="宋体" w:cs="宋体"/>
          <w:b/>
          <w:bCs/>
          <w:color w:val="auto"/>
          <w:sz w:val="28"/>
          <w:szCs w:val="28"/>
        </w:rPr>
      </w:pPr>
      <w:bookmarkStart w:id="69" w:name="_Toc461623619"/>
      <w:bookmarkEnd w:id="69"/>
      <w:bookmarkStart w:id="70" w:name="_Toc461623435"/>
      <w:bookmarkEnd w:id="70"/>
      <w:bookmarkStart w:id="71" w:name="_Toc461623883"/>
      <w:bookmarkEnd w:id="71"/>
      <w:bookmarkStart w:id="72" w:name="_Toc461555145"/>
      <w:bookmarkEnd w:id="72"/>
      <w:bookmarkStart w:id="73" w:name="_Toc467002772"/>
      <w:bookmarkEnd w:id="73"/>
      <w:bookmarkStart w:id="74" w:name="_Toc461623620"/>
      <w:bookmarkEnd w:id="74"/>
      <w:bookmarkStart w:id="75" w:name="_Toc461623432"/>
      <w:bookmarkEnd w:id="75"/>
      <w:bookmarkStart w:id="76" w:name="_Toc461636120"/>
      <w:bookmarkEnd w:id="76"/>
      <w:bookmarkStart w:id="77" w:name="_Toc461623885"/>
      <w:bookmarkEnd w:id="77"/>
      <w:bookmarkStart w:id="78" w:name="_Toc461636125"/>
      <w:bookmarkEnd w:id="78"/>
      <w:bookmarkStart w:id="79" w:name="_Toc467002770"/>
      <w:bookmarkEnd w:id="79"/>
      <w:bookmarkStart w:id="80" w:name="_Toc461623884"/>
      <w:bookmarkEnd w:id="80"/>
      <w:bookmarkStart w:id="81" w:name="_Toc461623624"/>
      <w:bookmarkEnd w:id="81"/>
      <w:bookmarkStart w:id="82" w:name="_Toc466999375"/>
      <w:bookmarkEnd w:id="82"/>
      <w:bookmarkStart w:id="83" w:name="_Toc461623886"/>
      <w:bookmarkEnd w:id="83"/>
      <w:bookmarkStart w:id="84" w:name="_Toc461624034"/>
      <w:bookmarkEnd w:id="84"/>
      <w:bookmarkStart w:id="85" w:name="_Toc461624112"/>
      <w:bookmarkEnd w:id="85"/>
      <w:bookmarkStart w:id="86" w:name="_Toc461555143"/>
      <w:bookmarkEnd w:id="86"/>
      <w:bookmarkStart w:id="87" w:name="_Toc461624179"/>
      <w:bookmarkEnd w:id="87"/>
      <w:bookmarkStart w:id="88" w:name="_Toc467002773"/>
      <w:bookmarkEnd w:id="88"/>
      <w:bookmarkStart w:id="89" w:name="_Toc461555141"/>
      <w:bookmarkEnd w:id="89"/>
      <w:bookmarkStart w:id="90" w:name="_Toc461623974"/>
      <w:bookmarkEnd w:id="90"/>
      <w:bookmarkStart w:id="91" w:name="_Toc461555144"/>
      <w:bookmarkEnd w:id="91"/>
      <w:bookmarkStart w:id="92" w:name="_Toc461555265"/>
      <w:bookmarkEnd w:id="92"/>
      <w:bookmarkStart w:id="93" w:name="_Toc461555203"/>
      <w:bookmarkEnd w:id="93"/>
      <w:bookmarkStart w:id="94" w:name="_Toc461623972"/>
      <w:bookmarkEnd w:id="94"/>
      <w:bookmarkStart w:id="95" w:name="_Toc466999369"/>
      <w:bookmarkEnd w:id="95"/>
      <w:bookmarkStart w:id="96" w:name="_Toc461555146"/>
      <w:bookmarkEnd w:id="96"/>
      <w:bookmarkStart w:id="97" w:name="_Toc461624037"/>
      <w:bookmarkEnd w:id="97"/>
      <w:bookmarkStart w:id="98" w:name="_Toc461555207"/>
      <w:bookmarkEnd w:id="98"/>
      <w:bookmarkStart w:id="99" w:name="_Toc461555266"/>
      <w:bookmarkEnd w:id="99"/>
      <w:bookmarkStart w:id="100" w:name="_Toc461623431"/>
      <w:bookmarkEnd w:id="100"/>
      <w:bookmarkStart w:id="101" w:name="_Toc461624175"/>
      <w:bookmarkEnd w:id="101"/>
      <w:bookmarkStart w:id="102" w:name="_Toc461623971"/>
      <w:bookmarkEnd w:id="102"/>
      <w:bookmarkStart w:id="103" w:name="_Toc461624033"/>
      <w:bookmarkEnd w:id="103"/>
      <w:bookmarkStart w:id="104" w:name="_Toc461636123"/>
      <w:bookmarkEnd w:id="104"/>
      <w:bookmarkStart w:id="105" w:name="_Toc461555205"/>
      <w:bookmarkEnd w:id="105"/>
      <w:bookmarkStart w:id="106" w:name="_Toc461555142"/>
      <w:bookmarkEnd w:id="106"/>
      <w:bookmarkStart w:id="107" w:name="_Toc467002774"/>
      <w:bookmarkEnd w:id="107"/>
      <w:bookmarkStart w:id="108" w:name="_Toc467002775"/>
      <w:bookmarkEnd w:id="108"/>
      <w:bookmarkStart w:id="109" w:name="_Toc467002771"/>
      <w:bookmarkEnd w:id="109"/>
      <w:bookmarkStart w:id="110" w:name="_Toc461623973"/>
      <w:bookmarkEnd w:id="110"/>
      <w:bookmarkStart w:id="111" w:name="_Toc461624174"/>
      <w:bookmarkEnd w:id="111"/>
      <w:bookmarkStart w:id="112" w:name="_Toc467002768"/>
      <w:bookmarkEnd w:id="112"/>
      <w:bookmarkStart w:id="113" w:name="_Toc466999371"/>
      <w:bookmarkEnd w:id="113"/>
      <w:bookmarkStart w:id="114" w:name="_Toc466999374"/>
      <w:bookmarkEnd w:id="114"/>
      <w:bookmarkStart w:id="115" w:name="_Toc461623618"/>
      <w:bookmarkEnd w:id="115"/>
      <w:bookmarkStart w:id="116" w:name="_Toc461624031"/>
      <w:bookmarkEnd w:id="116"/>
      <w:bookmarkStart w:id="117" w:name="_Toc461624178"/>
      <w:bookmarkEnd w:id="117"/>
      <w:bookmarkStart w:id="118" w:name="_Toc461623625"/>
      <w:bookmarkEnd w:id="118"/>
      <w:bookmarkStart w:id="119" w:name="_Toc461555264"/>
      <w:bookmarkEnd w:id="119"/>
      <w:bookmarkStart w:id="120" w:name="_Toc461623969"/>
      <w:bookmarkEnd w:id="120"/>
      <w:bookmarkStart w:id="121" w:name="_Toc461624038"/>
      <w:bookmarkEnd w:id="121"/>
      <w:bookmarkStart w:id="122" w:name="_Toc461555268"/>
      <w:bookmarkEnd w:id="122"/>
      <w:bookmarkStart w:id="123" w:name="_Toc461624176"/>
      <w:bookmarkEnd w:id="123"/>
      <w:bookmarkStart w:id="124" w:name="_Toc461623880"/>
      <w:bookmarkEnd w:id="124"/>
      <w:bookmarkStart w:id="125" w:name="_Toc466999372"/>
      <w:bookmarkEnd w:id="125"/>
      <w:bookmarkStart w:id="126" w:name="_Toc461555270"/>
      <w:bookmarkEnd w:id="126"/>
      <w:bookmarkStart w:id="127" w:name="_Toc461555269"/>
      <w:bookmarkEnd w:id="127"/>
      <w:bookmarkStart w:id="128" w:name="_Toc461636122"/>
      <w:bookmarkEnd w:id="128"/>
      <w:bookmarkStart w:id="129" w:name="_Toc461624032"/>
      <w:bookmarkEnd w:id="129"/>
      <w:bookmarkStart w:id="130" w:name="_Toc461624110"/>
      <w:bookmarkEnd w:id="130"/>
      <w:bookmarkStart w:id="131" w:name="_Toc461624109"/>
      <w:bookmarkEnd w:id="131"/>
      <w:bookmarkStart w:id="132" w:name="_Toc461623428"/>
      <w:bookmarkEnd w:id="132"/>
      <w:bookmarkStart w:id="133" w:name="_Toc461623621"/>
      <w:bookmarkEnd w:id="133"/>
      <w:bookmarkStart w:id="134" w:name="_Toc461636118"/>
      <w:bookmarkEnd w:id="134"/>
      <w:bookmarkStart w:id="135" w:name="_Toc461623968"/>
      <w:bookmarkEnd w:id="135"/>
      <w:bookmarkStart w:id="136" w:name="_Toc461555201"/>
      <w:bookmarkEnd w:id="136"/>
      <w:bookmarkStart w:id="137" w:name="_Toc461555267"/>
      <w:bookmarkEnd w:id="137"/>
      <w:bookmarkStart w:id="138" w:name="_Toc466999368"/>
      <w:bookmarkEnd w:id="138"/>
      <w:bookmarkStart w:id="139" w:name="_Toc466999370"/>
      <w:bookmarkEnd w:id="139"/>
      <w:bookmarkStart w:id="140" w:name="_Toc461623430"/>
      <w:bookmarkEnd w:id="140"/>
      <w:bookmarkStart w:id="141" w:name="_Toc461623967"/>
      <w:bookmarkEnd w:id="141"/>
      <w:bookmarkStart w:id="142" w:name="_Toc461555204"/>
      <w:bookmarkEnd w:id="142"/>
      <w:bookmarkStart w:id="143" w:name="_Toc461555206"/>
      <w:bookmarkEnd w:id="143"/>
      <w:bookmarkStart w:id="144" w:name="_Toc461624114"/>
      <w:bookmarkEnd w:id="144"/>
      <w:bookmarkStart w:id="145" w:name="_Toc461555202"/>
      <w:bookmarkEnd w:id="145"/>
      <w:bookmarkStart w:id="146" w:name="_Toc461624035"/>
      <w:bookmarkEnd w:id="146"/>
      <w:bookmarkStart w:id="147" w:name="_Toc461624180"/>
      <w:bookmarkEnd w:id="147"/>
      <w:bookmarkStart w:id="148" w:name="_Toc461624111"/>
      <w:bookmarkEnd w:id="148"/>
      <w:bookmarkStart w:id="149" w:name="_Toc466999373"/>
      <w:bookmarkEnd w:id="149"/>
      <w:bookmarkStart w:id="150" w:name="_Toc461636121"/>
      <w:bookmarkEnd w:id="150"/>
      <w:bookmarkStart w:id="151" w:name="_Toc461636124"/>
      <w:bookmarkEnd w:id="151"/>
      <w:bookmarkStart w:id="152" w:name="_Toc461624115"/>
      <w:bookmarkEnd w:id="152"/>
      <w:bookmarkStart w:id="153" w:name="_Toc461624177"/>
      <w:bookmarkEnd w:id="153"/>
      <w:bookmarkStart w:id="154" w:name="_Toc461623887"/>
      <w:bookmarkEnd w:id="154"/>
      <w:bookmarkStart w:id="155" w:name="_Toc461623434"/>
      <w:bookmarkEnd w:id="155"/>
      <w:bookmarkStart w:id="156" w:name="_Toc461624116"/>
      <w:bookmarkEnd w:id="156"/>
      <w:bookmarkStart w:id="157" w:name="_Toc461623882"/>
      <w:bookmarkEnd w:id="157"/>
      <w:bookmarkStart w:id="158" w:name="_Toc461636119"/>
      <w:bookmarkEnd w:id="158"/>
      <w:bookmarkStart w:id="159" w:name="_Toc461555263"/>
      <w:bookmarkEnd w:id="159"/>
      <w:bookmarkStart w:id="160" w:name="_Toc461623622"/>
      <w:bookmarkEnd w:id="160"/>
      <w:bookmarkStart w:id="161" w:name="_Toc461555208"/>
      <w:bookmarkEnd w:id="161"/>
      <w:bookmarkStart w:id="162" w:name="_Toc461623970"/>
      <w:bookmarkEnd w:id="162"/>
      <w:bookmarkStart w:id="163" w:name="_Toc461555140"/>
      <w:bookmarkEnd w:id="163"/>
      <w:bookmarkStart w:id="164" w:name="_Toc461623433"/>
      <w:bookmarkEnd w:id="164"/>
      <w:bookmarkStart w:id="165" w:name="_Toc461624036"/>
      <w:bookmarkEnd w:id="165"/>
      <w:bookmarkStart w:id="166" w:name="_Toc467002769"/>
      <w:bookmarkEnd w:id="166"/>
      <w:bookmarkStart w:id="167" w:name="_Toc461624173"/>
      <w:bookmarkEnd w:id="167"/>
      <w:bookmarkStart w:id="168" w:name="_Toc461623429"/>
      <w:bookmarkEnd w:id="168"/>
      <w:bookmarkStart w:id="169" w:name="_Toc461623881"/>
      <w:bookmarkEnd w:id="169"/>
      <w:bookmarkStart w:id="170" w:name="_Toc461623623"/>
      <w:bookmarkEnd w:id="170"/>
      <w:bookmarkStart w:id="171" w:name="_Toc461555147"/>
      <w:bookmarkEnd w:id="171"/>
      <w:bookmarkStart w:id="172" w:name="_Toc461624113"/>
      <w:bookmarkEnd w:id="172"/>
      <w:bookmarkStart w:id="173" w:name="_Toc27549"/>
      <w:bookmarkStart w:id="174" w:name="_Toc198885092"/>
      <w:bookmarkStart w:id="175" w:name="_Toc29414"/>
      <w:bookmarkStart w:id="176" w:name="_Toc1350"/>
      <w:bookmarkStart w:id="177" w:name="_Toc30677"/>
      <w:r>
        <w:rPr>
          <w:rFonts w:hint="eastAsia" w:ascii="宋体" w:hAnsi="宋体" w:cs="宋体"/>
          <w:b/>
          <w:bCs/>
          <w:color w:val="auto"/>
          <w:sz w:val="28"/>
          <w:szCs w:val="28"/>
          <w:lang w:val="en-US" w:eastAsia="zh-CN"/>
        </w:rPr>
        <w:t xml:space="preserve">4.7 </w:t>
      </w:r>
      <w:r>
        <w:rPr>
          <w:rFonts w:hint="eastAsia" w:ascii="宋体" w:hAnsi="宋体" w:cs="宋体"/>
          <w:b/>
          <w:bCs/>
          <w:color w:val="auto"/>
          <w:sz w:val="28"/>
          <w:szCs w:val="28"/>
        </w:rPr>
        <w:t>医院固定资产管理系统</w:t>
      </w:r>
      <w:bookmarkEnd w:id="173"/>
      <w:bookmarkEnd w:id="174"/>
      <w:bookmarkEnd w:id="175"/>
      <w:bookmarkEnd w:id="176"/>
      <w:bookmarkEnd w:id="177"/>
    </w:p>
    <w:p w14:paraId="5B916313">
      <w:pPr>
        <w:spacing w:line="360" w:lineRule="auto"/>
        <w:ind w:firstLine="420"/>
        <w:rPr>
          <w:rFonts w:ascii="宋体" w:hAnsi="宋体" w:cs="宋体"/>
          <w:color w:val="auto"/>
        </w:rPr>
      </w:pPr>
      <w:r>
        <w:rPr>
          <w:rFonts w:hint="eastAsia" w:ascii="宋体" w:hAnsi="宋体" w:cs="宋体"/>
          <w:color w:val="auto"/>
        </w:rPr>
        <w:t>实现医院资产入库、领用与使用、清查与盘点、变动与处置、发票与付款、折旧摊销到统计分析的全过程管理。以资产卡片为核心，完整记录资产档案，实时掌握资产运行动态。</w:t>
      </w:r>
    </w:p>
    <w:p w14:paraId="6811956B">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4.7.1 </w:t>
      </w:r>
      <w:r>
        <w:rPr>
          <w:rFonts w:hint="eastAsia" w:ascii="宋体" w:hAnsi="宋体"/>
          <w:b/>
          <w:bCs/>
          <w:color w:val="auto"/>
          <w:sz w:val="21"/>
          <w:szCs w:val="22"/>
          <w:lang w:eastAsia="zh-CN"/>
        </w:rPr>
        <w:t>库房管理</w:t>
      </w:r>
    </w:p>
    <w:p w14:paraId="4C11A7EE">
      <w:pPr>
        <w:spacing w:line="360" w:lineRule="auto"/>
        <w:ind w:firstLine="420" w:firstLineChars="200"/>
        <w:rPr>
          <w:rFonts w:ascii="宋体" w:hAnsi="宋体" w:cs="宋体"/>
          <w:color w:val="auto"/>
        </w:rPr>
      </w:pPr>
      <w:r>
        <w:rPr>
          <w:rFonts w:hint="eastAsia" w:ascii="宋体" w:hAnsi="宋体" w:cs="宋体"/>
          <w:color w:val="auto"/>
        </w:rPr>
        <w:t>提供资产入库、科室领用及资产退货、资产退库业务功能。具体应包括：</w:t>
      </w:r>
    </w:p>
    <w:p w14:paraId="595C276E">
      <w:pPr>
        <w:widowControl/>
        <w:numPr>
          <w:ilvl w:val="0"/>
          <w:numId w:val="12"/>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期初入库</w:t>
      </w:r>
    </w:p>
    <w:p w14:paraId="67B4D36D">
      <w:pPr>
        <w:spacing w:line="360" w:lineRule="auto"/>
        <w:ind w:firstLine="420" w:firstLineChars="200"/>
        <w:rPr>
          <w:rFonts w:ascii="宋体" w:hAnsi="宋体" w:cs="宋体"/>
          <w:color w:val="auto"/>
        </w:rPr>
      </w:pPr>
      <w:r>
        <w:rPr>
          <w:rFonts w:hint="eastAsia" w:ascii="宋体" w:hAnsi="宋体" w:cs="宋体"/>
          <w:color w:val="auto"/>
        </w:rPr>
        <w:t>在系统启用时，医院一般都会有原始卡片需要进入系统，期初入库就是来计入原始卡片的相关信息，记录期初卡片的开票及付款信息。</w:t>
      </w:r>
    </w:p>
    <w:p w14:paraId="32FE00E8">
      <w:pPr>
        <w:widowControl/>
        <w:numPr>
          <w:ilvl w:val="0"/>
          <w:numId w:val="12"/>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资产入库</w:t>
      </w:r>
    </w:p>
    <w:p w14:paraId="3B0A8F8D">
      <w:pPr>
        <w:spacing w:line="360" w:lineRule="auto"/>
        <w:ind w:firstLine="420" w:firstLineChars="200"/>
        <w:rPr>
          <w:rFonts w:ascii="宋体" w:hAnsi="宋体" w:cs="宋体"/>
          <w:color w:val="auto"/>
        </w:rPr>
      </w:pPr>
      <w:r>
        <w:rPr>
          <w:rFonts w:hint="eastAsia" w:ascii="宋体" w:hAnsi="宋体" w:cs="宋体"/>
          <w:color w:val="auto"/>
        </w:rPr>
        <w:t>提供从合同明细、采购订单明细导入固定资产入库数据功能，及资产入库单手工新增功能；支持入库单审批及反审功能并可从入库单推送生成资产卡片、科室领用单、资产退货单；提供入库数据查询及打印功能。</w:t>
      </w:r>
    </w:p>
    <w:p w14:paraId="3562FC76">
      <w:pPr>
        <w:widowControl/>
        <w:numPr>
          <w:ilvl w:val="0"/>
          <w:numId w:val="12"/>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资产退货</w:t>
      </w:r>
    </w:p>
    <w:p w14:paraId="361777A9">
      <w:pPr>
        <w:spacing w:line="360" w:lineRule="auto"/>
        <w:ind w:firstLine="420" w:firstLineChars="200"/>
        <w:rPr>
          <w:rFonts w:ascii="宋体" w:hAnsi="宋体" w:cs="宋体"/>
          <w:color w:val="auto"/>
        </w:rPr>
      </w:pPr>
      <w:r>
        <w:rPr>
          <w:rFonts w:hint="eastAsia" w:ascii="宋体" w:hAnsi="宋体" w:cs="宋体"/>
          <w:color w:val="auto"/>
        </w:rPr>
        <w:t>提供资产退货单新建功能及退货单审批和反审功能；提供退货单据查询及打印功能。</w:t>
      </w:r>
    </w:p>
    <w:p w14:paraId="0FB2C2E0">
      <w:pPr>
        <w:widowControl/>
        <w:numPr>
          <w:ilvl w:val="0"/>
          <w:numId w:val="12"/>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科室领用</w:t>
      </w:r>
    </w:p>
    <w:p w14:paraId="75AB6CDF">
      <w:pPr>
        <w:spacing w:line="360" w:lineRule="auto"/>
        <w:ind w:firstLine="420" w:firstLineChars="200"/>
        <w:rPr>
          <w:rFonts w:ascii="宋体" w:hAnsi="宋体" w:cs="宋体"/>
          <w:color w:val="auto"/>
        </w:rPr>
      </w:pPr>
      <w:r>
        <w:rPr>
          <w:rFonts w:hint="eastAsia" w:ascii="宋体" w:hAnsi="宋体" w:cs="宋体"/>
          <w:color w:val="auto"/>
        </w:rPr>
        <w:t>提供已入库资产进行业务科室领用业务。支持手工新增领用单据及领用单审批和反审功能；提供领用单据查询及打印功能。</w:t>
      </w:r>
    </w:p>
    <w:p w14:paraId="61F433D9">
      <w:pPr>
        <w:widowControl/>
        <w:numPr>
          <w:ilvl w:val="0"/>
          <w:numId w:val="12"/>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科室退库</w:t>
      </w:r>
    </w:p>
    <w:p w14:paraId="0EA95ACD">
      <w:pPr>
        <w:spacing w:line="360" w:lineRule="auto"/>
        <w:ind w:firstLine="420" w:firstLineChars="200"/>
        <w:rPr>
          <w:rFonts w:ascii="宋体" w:hAnsi="宋体" w:cs="宋体"/>
          <w:color w:val="auto"/>
        </w:rPr>
      </w:pPr>
      <w:r>
        <w:rPr>
          <w:rFonts w:hint="eastAsia" w:ascii="宋体" w:hAnsi="宋体" w:cs="宋体"/>
          <w:color w:val="auto"/>
        </w:rPr>
        <w:t>提供科室领用资产进行退回库房业务功能；支持手工新增退库单及退库单审核和反审功能；提供退货单查询及打印功能。</w:t>
      </w:r>
    </w:p>
    <w:p w14:paraId="4192D59A">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4.7.2</w:t>
      </w:r>
      <w:r>
        <w:rPr>
          <w:rFonts w:hint="eastAsia" w:ascii="宋体" w:hAnsi="宋体"/>
          <w:b/>
          <w:bCs/>
          <w:color w:val="auto"/>
          <w:sz w:val="21"/>
          <w:szCs w:val="22"/>
          <w:lang w:eastAsia="zh-CN"/>
        </w:rPr>
        <w:t>资产变动</w:t>
      </w:r>
    </w:p>
    <w:p w14:paraId="3D27D412">
      <w:pPr>
        <w:spacing w:line="360" w:lineRule="auto"/>
        <w:ind w:firstLine="420" w:firstLineChars="200"/>
        <w:rPr>
          <w:rFonts w:ascii="宋体" w:hAnsi="宋体" w:cs="宋体"/>
          <w:color w:val="auto"/>
        </w:rPr>
      </w:pPr>
      <w:r>
        <w:rPr>
          <w:rFonts w:hint="eastAsia" w:ascii="宋体" w:hAnsi="宋体" w:cs="宋体"/>
          <w:color w:val="auto"/>
        </w:rPr>
        <w:t>资产变动主要针对资产转移、原值变动及资产使用状态变动业务并回写卡片信息，具体包括：</w:t>
      </w:r>
    </w:p>
    <w:p w14:paraId="444EDCB8">
      <w:pPr>
        <w:widowControl/>
        <w:numPr>
          <w:ilvl w:val="0"/>
          <w:numId w:val="13"/>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资产转移</w:t>
      </w:r>
    </w:p>
    <w:p w14:paraId="030818C9">
      <w:pPr>
        <w:spacing w:line="360" w:lineRule="auto"/>
        <w:ind w:firstLine="420" w:firstLineChars="200"/>
        <w:rPr>
          <w:rFonts w:ascii="宋体" w:hAnsi="宋体" w:cs="宋体"/>
          <w:color w:val="auto"/>
        </w:rPr>
      </w:pPr>
      <w:r>
        <w:rPr>
          <w:rFonts w:hint="eastAsia" w:ascii="宋体" w:hAnsi="宋体" w:cs="宋体"/>
          <w:color w:val="auto"/>
        </w:rPr>
        <w:t>支持资产转移（科室-科室/仓库-仓库/放置区域-放置区域）单据新增功能；支持转移单审核和反审功能；支持转移单查询及打印功能。</w:t>
      </w:r>
    </w:p>
    <w:p w14:paraId="289FAD2D">
      <w:pPr>
        <w:widowControl/>
        <w:numPr>
          <w:ilvl w:val="0"/>
          <w:numId w:val="13"/>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原值变动</w:t>
      </w:r>
    </w:p>
    <w:p w14:paraId="21C31383">
      <w:pPr>
        <w:spacing w:line="360" w:lineRule="auto"/>
        <w:ind w:firstLine="420" w:firstLineChars="200"/>
        <w:rPr>
          <w:rFonts w:ascii="宋体" w:hAnsi="宋体" w:cs="宋体"/>
          <w:color w:val="auto"/>
        </w:rPr>
      </w:pPr>
      <w:r>
        <w:rPr>
          <w:rFonts w:hint="eastAsia" w:ascii="宋体" w:hAnsi="宋体" w:cs="宋体"/>
          <w:color w:val="auto"/>
        </w:rPr>
        <w:t>支持资产原值变动功能，可进行资产卡片的原值、累计折旧、折旧年限、工作量调整生成原值变动单据；支持变动单据审核和反审功能；支持变动单据查询和打印功能。</w:t>
      </w:r>
    </w:p>
    <w:p w14:paraId="23CABD98">
      <w:pPr>
        <w:widowControl/>
        <w:numPr>
          <w:ilvl w:val="0"/>
          <w:numId w:val="13"/>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使用状态变动</w:t>
      </w:r>
    </w:p>
    <w:p w14:paraId="3D9142D6">
      <w:pPr>
        <w:spacing w:line="360" w:lineRule="auto"/>
        <w:ind w:firstLine="420" w:firstLineChars="200"/>
        <w:rPr>
          <w:rFonts w:ascii="宋体" w:hAnsi="宋体" w:cs="宋体"/>
          <w:color w:val="auto"/>
        </w:rPr>
      </w:pPr>
      <w:r>
        <w:rPr>
          <w:rFonts w:hint="eastAsia" w:ascii="宋体" w:hAnsi="宋体" w:cs="宋体"/>
          <w:color w:val="auto"/>
        </w:rPr>
        <w:t>使用状态变动业务功能，可进行资产卡片使用状态变更，并支持卡片批量变更。</w:t>
      </w:r>
    </w:p>
    <w:p w14:paraId="332E0943">
      <w:pPr>
        <w:widowControl/>
        <w:numPr>
          <w:ilvl w:val="0"/>
          <w:numId w:val="13"/>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资金来源调整</w:t>
      </w:r>
    </w:p>
    <w:p w14:paraId="579119A8">
      <w:pPr>
        <w:spacing w:line="360" w:lineRule="auto"/>
        <w:ind w:firstLine="420" w:firstLineChars="200"/>
        <w:rPr>
          <w:rFonts w:ascii="宋体" w:hAnsi="宋体" w:cs="宋体"/>
          <w:color w:val="auto"/>
        </w:rPr>
      </w:pPr>
      <w:r>
        <w:rPr>
          <w:rFonts w:hint="eastAsia" w:ascii="宋体" w:hAnsi="宋体" w:cs="宋体"/>
          <w:color w:val="auto"/>
        </w:rPr>
        <w:t>支持资金来源调整单据，审核后，可调整资产卡片资金来源数据，并支持重新计算期间折旧。</w:t>
      </w:r>
    </w:p>
    <w:p w14:paraId="094014C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4.7.3</w:t>
      </w:r>
      <w:r>
        <w:rPr>
          <w:rFonts w:hint="eastAsia" w:ascii="宋体" w:hAnsi="宋体"/>
          <w:b/>
          <w:bCs/>
          <w:color w:val="auto"/>
          <w:sz w:val="21"/>
          <w:szCs w:val="22"/>
          <w:lang w:eastAsia="zh-CN"/>
        </w:rPr>
        <w:t>资产处置</w:t>
      </w:r>
    </w:p>
    <w:p w14:paraId="6D384BBC">
      <w:pPr>
        <w:spacing w:line="360" w:lineRule="auto"/>
        <w:ind w:firstLine="420" w:firstLineChars="200"/>
        <w:rPr>
          <w:rFonts w:ascii="宋体" w:hAnsi="宋体" w:cs="宋体"/>
          <w:color w:val="auto"/>
        </w:rPr>
      </w:pPr>
      <w:r>
        <w:rPr>
          <w:rFonts w:hint="eastAsia" w:ascii="宋体" w:hAnsi="宋体" w:cs="宋体"/>
          <w:color w:val="auto"/>
        </w:rPr>
        <w:t>提供固定资产处置单据新建、审核和反审功能。支持导入盘亏单、设备处置单以及EXCEL单据生成。支持多种资产处置方式，包括核销减少、投资减少、盘亏减少、出让减少、有偿调出、无偿调出、销售减少、捐赠减少、毁损减少、报废减少等方式。</w:t>
      </w:r>
    </w:p>
    <w:p w14:paraId="1E2E885C">
      <w:pPr>
        <w:widowControl/>
        <w:numPr>
          <w:ilvl w:val="0"/>
          <w:numId w:val="14"/>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资产处置</w:t>
      </w:r>
    </w:p>
    <w:p w14:paraId="00A2E18A">
      <w:pPr>
        <w:spacing w:line="360" w:lineRule="auto"/>
        <w:ind w:firstLine="420" w:firstLineChars="200"/>
        <w:rPr>
          <w:rFonts w:ascii="宋体" w:hAnsi="宋体" w:cs="宋体"/>
          <w:color w:val="auto"/>
        </w:rPr>
      </w:pPr>
      <w:r>
        <w:rPr>
          <w:rFonts w:hint="eastAsia" w:ascii="宋体" w:hAnsi="宋体" w:cs="宋体"/>
          <w:color w:val="auto"/>
        </w:rPr>
        <w:t>支持固定资产处置单据新建及审核和反审功能。支持固定资产单项确认功能及快速确认功能。支持处置单据查询及打印功能。</w:t>
      </w:r>
    </w:p>
    <w:p w14:paraId="05A5FC0E">
      <w:pPr>
        <w:widowControl/>
        <w:numPr>
          <w:ilvl w:val="0"/>
          <w:numId w:val="14"/>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资产处置明细单</w:t>
      </w:r>
    </w:p>
    <w:p w14:paraId="5A6F4474">
      <w:pPr>
        <w:spacing w:line="360" w:lineRule="auto"/>
        <w:ind w:firstLine="420" w:firstLineChars="200"/>
        <w:rPr>
          <w:rFonts w:ascii="宋体" w:hAnsi="宋体" w:cs="宋体"/>
          <w:color w:val="auto"/>
        </w:rPr>
      </w:pPr>
      <w:r>
        <w:rPr>
          <w:rFonts w:hint="eastAsia" w:ascii="宋体" w:hAnsi="宋体" w:cs="宋体"/>
          <w:color w:val="auto"/>
        </w:rPr>
        <w:t>可通过资产卡片号、处置类型、处置单号、资产名称、仓库、科室、所在位置等条件查询资产处置明细数据，包括处理类型、处置时间等。</w:t>
      </w:r>
    </w:p>
    <w:p w14:paraId="152CF11C">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4.7.4</w:t>
      </w:r>
      <w:r>
        <w:rPr>
          <w:rFonts w:hint="eastAsia" w:ascii="宋体" w:hAnsi="宋体"/>
          <w:b/>
          <w:bCs/>
          <w:color w:val="auto"/>
          <w:sz w:val="21"/>
          <w:szCs w:val="22"/>
          <w:lang w:eastAsia="zh-CN"/>
        </w:rPr>
        <w:t>资产盘点</w:t>
      </w:r>
    </w:p>
    <w:p w14:paraId="1093BE8F">
      <w:pPr>
        <w:spacing w:line="360" w:lineRule="auto"/>
        <w:ind w:firstLine="420" w:firstLineChars="200"/>
        <w:rPr>
          <w:rFonts w:ascii="宋体" w:hAnsi="宋体" w:cs="宋体"/>
          <w:color w:val="auto"/>
        </w:rPr>
      </w:pPr>
      <w:r>
        <w:rPr>
          <w:rFonts w:hint="eastAsia" w:ascii="宋体" w:hAnsi="宋体" w:cs="宋体"/>
          <w:color w:val="auto"/>
        </w:rPr>
        <w:t>提供资产盘点单、盘亏盘盈单及盘点清查查询功能，具体包括：</w:t>
      </w:r>
    </w:p>
    <w:p w14:paraId="0C81F772">
      <w:pPr>
        <w:widowControl/>
        <w:numPr>
          <w:ilvl w:val="0"/>
          <w:numId w:val="15"/>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资产盘点单</w:t>
      </w:r>
    </w:p>
    <w:p w14:paraId="0D363EC6">
      <w:pPr>
        <w:spacing w:line="360" w:lineRule="auto"/>
        <w:ind w:firstLine="420" w:firstLineChars="200"/>
        <w:rPr>
          <w:rFonts w:ascii="宋体" w:hAnsi="宋体" w:cs="宋体"/>
          <w:color w:val="auto"/>
        </w:rPr>
      </w:pPr>
      <w:r>
        <w:rPr>
          <w:rFonts w:hint="eastAsia" w:ascii="宋体" w:hAnsi="宋体" w:cs="宋体"/>
          <w:color w:val="auto"/>
        </w:rPr>
        <w:t>提供资产盘点单生成及盘点单录入功能；支持盘点单审核和反审功能；支持盘点单批量打印功能。</w:t>
      </w:r>
      <w:r>
        <w:rPr>
          <w:rFonts w:hint="eastAsia" w:ascii="宋体" w:hAnsi="宋体" w:cs="宋体"/>
          <w:color w:val="auto"/>
        </w:rPr>
        <w:tab/>
      </w:r>
    </w:p>
    <w:p w14:paraId="2F296EDE">
      <w:pPr>
        <w:widowControl/>
        <w:numPr>
          <w:ilvl w:val="0"/>
          <w:numId w:val="15"/>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资产盘亏盘盈单</w:t>
      </w:r>
    </w:p>
    <w:p w14:paraId="2F7BFA26">
      <w:pPr>
        <w:spacing w:line="360" w:lineRule="auto"/>
        <w:ind w:firstLine="420" w:firstLineChars="200"/>
        <w:rPr>
          <w:rFonts w:ascii="宋体" w:hAnsi="宋体" w:cs="宋体"/>
          <w:color w:val="auto"/>
        </w:rPr>
      </w:pPr>
      <w:r>
        <w:rPr>
          <w:rFonts w:hint="eastAsia" w:ascii="宋体" w:hAnsi="宋体" w:cs="宋体"/>
          <w:color w:val="auto"/>
        </w:rPr>
        <w:t>通过盘盈盘亏单记录盘盈盘亏单的处理状态；根据盘亏盘盈明细查询单据，盘亏盘盈资产处理状态。</w:t>
      </w:r>
    </w:p>
    <w:p w14:paraId="0657D52B">
      <w:pPr>
        <w:widowControl/>
        <w:numPr>
          <w:ilvl w:val="0"/>
          <w:numId w:val="15"/>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资产盘点清单</w:t>
      </w:r>
    </w:p>
    <w:p w14:paraId="52FC5965">
      <w:pPr>
        <w:spacing w:line="360" w:lineRule="auto"/>
        <w:ind w:firstLine="420" w:firstLineChars="200"/>
        <w:rPr>
          <w:rFonts w:ascii="宋体" w:hAnsi="宋体" w:cs="宋体"/>
          <w:color w:val="auto"/>
        </w:rPr>
      </w:pPr>
      <w:r>
        <w:rPr>
          <w:rFonts w:hint="eastAsia" w:ascii="宋体" w:hAnsi="宋体" w:cs="宋体"/>
          <w:color w:val="auto"/>
        </w:rPr>
        <w:t>资产盘点清单是在盘点工作完成之后，记录盘点单在的盈亏资产的处理状态，辅助对盈亏资产的后续处理工作。</w:t>
      </w:r>
    </w:p>
    <w:p w14:paraId="412E886E">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4.7.5</w:t>
      </w:r>
      <w:r>
        <w:rPr>
          <w:rFonts w:hint="eastAsia" w:ascii="宋体" w:hAnsi="宋体"/>
          <w:b/>
          <w:bCs/>
          <w:color w:val="auto"/>
          <w:sz w:val="21"/>
          <w:szCs w:val="22"/>
          <w:lang w:eastAsia="zh-CN"/>
        </w:rPr>
        <w:t>条码管理</w:t>
      </w:r>
    </w:p>
    <w:p w14:paraId="17EE2A71">
      <w:pPr>
        <w:spacing w:line="360" w:lineRule="auto"/>
        <w:ind w:firstLine="420" w:firstLineChars="200"/>
        <w:rPr>
          <w:rFonts w:ascii="宋体" w:hAnsi="宋体" w:cs="宋体"/>
          <w:color w:val="auto"/>
        </w:rPr>
      </w:pPr>
      <w:r>
        <w:rPr>
          <w:rFonts w:hint="eastAsia" w:ascii="宋体" w:hAnsi="宋体" w:cs="宋体"/>
          <w:color w:val="auto"/>
        </w:rPr>
        <w:t>支持按资产分类进行条码生成规则设置及资产卡片条码生成功能：</w:t>
      </w:r>
    </w:p>
    <w:p w14:paraId="297DF538">
      <w:pPr>
        <w:widowControl/>
        <w:numPr>
          <w:ilvl w:val="0"/>
          <w:numId w:val="16"/>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条码生成</w:t>
      </w:r>
    </w:p>
    <w:p w14:paraId="179353E9">
      <w:pPr>
        <w:spacing w:line="360" w:lineRule="auto"/>
        <w:ind w:firstLine="420" w:firstLineChars="200"/>
        <w:rPr>
          <w:rFonts w:ascii="宋体" w:hAnsi="宋体" w:cs="宋体"/>
          <w:color w:val="auto"/>
        </w:rPr>
      </w:pPr>
      <w:r>
        <w:rPr>
          <w:rFonts w:hint="eastAsia" w:ascii="宋体" w:hAnsi="宋体" w:cs="宋体"/>
          <w:color w:val="auto"/>
        </w:rPr>
        <w:t>支持资产卡片生成条码内容及条码打印。</w:t>
      </w:r>
    </w:p>
    <w:p w14:paraId="26C828AB">
      <w:pPr>
        <w:widowControl/>
        <w:numPr>
          <w:ilvl w:val="0"/>
          <w:numId w:val="16"/>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条码设置</w:t>
      </w:r>
    </w:p>
    <w:p w14:paraId="1C3D24CF">
      <w:pPr>
        <w:spacing w:line="360" w:lineRule="auto"/>
        <w:ind w:firstLine="420" w:firstLineChars="200"/>
        <w:rPr>
          <w:rFonts w:ascii="宋体" w:hAnsi="宋体" w:cs="宋体"/>
          <w:color w:val="auto"/>
        </w:rPr>
      </w:pPr>
      <w:r>
        <w:rPr>
          <w:rFonts w:hint="eastAsia" w:ascii="宋体" w:hAnsi="宋体" w:cs="宋体"/>
          <w:color w:val="auto"/>
        </w:rPr>
        <w:t>条码设置规则可以根据院内资产管理的具体需求来设置，可根据固定资产分类设置生成条形码信息，支持附属设备条码生成及打印。</w:t>
      </w:r>
    </w:p>
    <w:p w14:paraId="10EE2E24">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4.7.6</w:t>
      </w:r>
      <w:r>
        <w:rPr>
          <w:rFonts w:hint="eastAsia" w:ascii="宋体" w:hAnsi="宋体"/>
          <w:b/>
          <w:bCs/>
          <w:color w:val="auto"/>
          <w:sz w:val="21"/>
          <w:szCs w:val="22"/>
          <w:lang w:eastAsia="zh-CN"/>
        </w:rPr>
        <w:t>卡片管理</w:t>
      </w:r>
    </w:p>
    <w:p w14:paraId="6CB0D4C8">
      <w:pPr>
        <w:widowControl/>
        <w:numPr>
          <w:ilvl w:val="0"/>
          <w:numId w:val="17"/>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卡片维护</w:t>
      </w:r>
    </w:p>
    <w:p w14:paraId="3A75A957">
      <w:pPr>
        <w:spacing w:line="360" w:lineRule="auto"/>
        <w:ind w:firstLine="420" w:firstLineChars="200"/>
        <w:rPr>
          <w:rFonts w:ascii="宋体" w:hAnsi="宋体" w:cs="宋体"/>
          <w:color w:val="auto"/>
        </w:rPr>
      </w:pPr>
      <w:r>
        <w:rPr>
          <w:rFonts w:hint="eastAsia" w:ascii="宋体" w:hAnsi="宋体" w:cs="宋体"/>
          <w:color w:val="auto"/>
        </w:rPr>
        <w:t>包括卡片维护、新增资产卡片，记录折旧、转移、处置、资金来源、副卡、使用科室、变动、状态变动、附属设备、图片等信息；可通过资产卡片联查资产验收、入库、领用、折旧、转移、变更、处置、计量、保养、维护等信息，实时掌握资产动态；提供卡片复制、修改、日志记录功能；支持附属设备管理，记录、维护附属设备信息。</w:t>
      </w:r>
    </w:p>
    <w:p w14:paraId="78FA0465">
      <w:pPr>
        <w:widowControl/>
        <w:numPr>
          <w:ilvl w:val="0"/>
          <w:numId w:val="17"/>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卡片初始账</w:t>
      </w:r>
    </w:p>
    <w:p w14:paraId="441F996A">
      <w:pPr>
        <w:spacing w:line="360" w:lineRule="auto"/>
        <w:ind w:firstLine="420" w:firstLineChars="200"/>
        <w:rPr>
          <w:rFonts w:ascii="宋体" w:hAnsi="宋体" w:cs="宋体"/>
          <w:color w:val="auto"/>
        </w:rPr>
      </w:pPr>
      <w:r>
        <w:rPr>
          <w:rFonts w:hint="eastAsia" w:ascii="宋体" w:hAnsi="宋体" w:cs="宋体"/>
          <w:color w:val="auto"/>
        </w:rPr>
        <w:t>以账表的形式记录期初卡片折旧、转移、处置、资金来源、副卡、使用科室、变动、状态变动、图片等信息。可导入、新增、复制期初卡片，支持生成期初入库单，支持期初建账。</w:t>
      </w:r>
    </w:p>
    <w:p w14:paraId="313DD905">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4.7.7</w:t>
      </w:r>
      <w:r>
        <w:rPr>
          <w:rFonts w:hint="eastAsia" w:ascii="宋体" w:hAnsi="宋体"/>
          <w:b/>
          <w:bCs/>
          <w:color w:val="auto"/>
          <w:sz w:val="21"/>
          <w:szCs w:val="22"/>
          <w:lang w:eastAsia="zh-CN"/>
        </w:rPr>
        <w:t>折旧摊销</w:t>
      </w:r>
    </w:p>
    <w:p w14:paraId="1DD2EBCC">
      <w:pPr>
        <w:spacing w:line="360" w:lineRule="auto"/>
        <w:ind w:firstLine="420" w:firstLineChars="200"/>
        <w:rPr>
          <w:rFonts w:ascii="宋体" w:hAnsi="宋体" w:cs="宋体"/>
          <w:color w:val="auto"/>
        </w:rPr>
      </w:pPr>
      <w:r>
        <w:rPr>
          <w:rFonts w:hint="eastAsia" w:ascii="宋体" w:hAnsi="宋体" w:cs="宋体"/>
          <w:color w:val="auto"/>
        </w:rPr>
        <w:t>满足医院对资产折旧摊销业务要求，支持年限平均法和工作量法，支持折旧资产当月工作量维护功能；支持资产计提折旧、摊销及反折旧、反摊销功能。</w:t>
      </w:r>
    </w:p>
    <w:p w14:paraId="38B01055">
      <w:pPr>
        <w:widowControl/>
        <w:numPr>
          <w:ilvl w:val="0"/>
          <w:numId w:val="18"/>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工作量维护</w:t>
      </w:r>
    </w:p>
    <w:p w14:paraId="46B61AE2">
      <w:pPr>
        <w:spacing w:line="360" w:lineRule="auto"/>
        <w:ind w:firstLine="420" w:firstLineChars="200"/>
        <w:rPr>
          <w:rFonts w:ascii="宋体" w:hAnsi="宋体" w:cs="宋体"/>
          <w:color w:val="auto"/>
        </w:rPr>
      </w:pPr>
      <w:r>
        <w:rPr>
          <w:rFonts w:hint="eastAsia" w:ascii="宋体" w:hAnsi="宋体" w:cs="宋体"/>
          <w:color w:val="auto"/>
        </w:rPr>
        <w:t>作为资产折旧的一种方式，在采用工作量法提取折旧的话，必须要在计提折旧前输入该项固定资产本期的实际工作量，工作量维护是以记录卡片的工作量信息，为后续提取折旧做准备。</w:t>
      </w:r>
    </w:p>
    <w:p w14:paraId="68C2C939">
      <w:pPr>
        <w:widowControl/>
        <w:numPr>
          <w:ilvl w:val="0"/>
          <w:numId w:val="18"/>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计提折旧</w:t>
      </w:r>
    </w:p>
    <w:p w14:paraId="429819EF">
      <w:pPr>
        <w:spacing w:line="360" w:lineRule="auto"/>
        <w:ind w:firstLine="420" w:firstLineChars="200"/>
        <w:rPr>
          <w:rFonts w:ascii="宋体" w:hAnsi="宋体" w:cs="宋体"/>
          <w:color w:val="auto"/>
        </w:rPr>
      </w:pPr>
      <w:r>
        <w:rPr>
          <w:rFonts w:hint="eastAsia" w:ascii="宋体" w:hAnsi="宋体" w:cs="宋体"/>
          <w:color w:val="auto"/>
        </w:rPr>
        <w:t>在权责发生制前提下，预先计入某些已经发生但未实际支付的费用需要来进行计提折旧的操作，根据年限平均法、工作量法对卡片提取折旧。</w:t>
      </w:r>
    </w:p>
    <w:p w14:paraId="201FB3D2">
      <w:pPr>
        <w:widowControl/>
        <w:numPr>
          <w:ilvl w:val="0"/>
          <w:numId w:val="18"/>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计提摊销</w:t>
      </w:r>
    </w:p>
    <w:p w14:paraId="432818F0">
      <w:pPr>
        <w:spacing w:line="360" w:lineRule="auto"/>
        <w:ind w:firstLine="420" w:firstLineChars="200"/>
        <w:rPr>
          <w:rFonts w:ascii="宋体" w:hAnsi="宋体" w:cs="宋体"/>
          <w:color w:val="auto"/>
        </w:rPr>
      </w:pPr>
      <w:r>
        <w:rPr>
          <w:rFonts w:hint="eastAsia" w:ascii="宋体" w:hAnsi="宋体" w:cs="宋体"/>
          <w:color w:val="auto"/>
        </w:rPr>
        <w:t>累计摊销是用于摊销无形资产的，类似固定资产中的累计折旧。用来核算无形资产的摊销。根据年限平均法对无形资产进行摊销，无形资产当月入库当月摊销。</w:t>
      </w:r>
    </w:p>
    <w:p w14:paraId="5471A27E">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4.7.8</w:t>
      </w:r>
      <w:r>
        <w:rPr>
          <w:rFonts w:hint="eastAsia" w:ascii="宋体" w:hAnsi="宋体"/>
          <w:b/>
          <w:bCs/>
          <w:color w:val="auto"/>
          <w:sz w:val="21"/>
          <w:szCs w:val="22"/>
          <w:lang w:eastAsia="zh-CN"/>
        </w:rPr>
        <w:t>期末处理</w:t>
      </w:r>
    </w:p>
    <w:p w14:paraId="60481EF0">
      <w:pPr>
        <w:spacing w:line="360" w:lineRule="auto"/>
        <w:ind w:firstLine="420" w:firstLineChars="200"/>
        <w:rPr>
          <w:rFonts w:ascii="宋体" w:hAnsi="宋体" w:cs="宋体"/>
          <w:color w:val="auto"/>
        </w:rPr>
      </w:pPr>
      <w:r>
        <w:rPr>
          <w:rFonts w:hint="eastAsia" w:ascii="宋体" w:hAnsi="宋体" w:cs="宋体"/>
          <w:color w:val="auto"/>
        </w:rPr>
        <w:t>到会计期间终点时，需要对业务进行期末处理，完成了期末处理才能顺利进入下一个会计期间开始新的业务操作。对当期的“全部折旧和摊销”字段为是，且当期没有未审核单据，才可以进行当期的结转。</w:t>
      </w:r>
    </w:p>
    <w:p w14:paraId="33147788">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4.7.9</w:t>
      </w:r>
      <w:r>
        <w:rPr>
          <w:rFonts w:hint="eastAsia" w:ascii="宋体" w:hAnsi="宋体"/>
          <w:b/>
          <w:bCs/>
          <w:color w:val="auto"/>
          <w:sz w:val="21"/>
          <w:szCs w:val="22"/>
          <w:lang w:eastAsia="zh-CN"/>
        </w:rPr>
        <w:t>采购发票</w:t>
      </w:r>
    </w:p>
    <w:p w14:paraId="5D89996D">
      <w:pPr>
        <w:spacing w:line="360" w:lineRule="auto"/>
        <w:ind w:firstLine="420" w:firstLineChars="200"/>
        <w:rPr>
          <w:rFonts w:ascii="宋体" w:hAnsi="宋体" w:cs="宋体"/>
          <w:color w:val="auto"/>
        </w:rPr>
      </w:pPr>
      <w:r>
        <w:rPr>
          <w:rFonts w:hint="eastAsia" w:ascii="宋体" w:hAnsi="宋体" w:cs="宋体"/>
          <w:color w:val="auto"/>
        </w:rPr>
        <w:t>提供发票管理功能，实现预付款发票、资产入库发票及红字发票管理开具，支持发票与入库单的关联绑定。支持采购发票明细查询功能，支持统计查询已入库、尚未开票的入库资产数据。</w:t>
      </w:r>
    </w:p>
    <w:p w14:paraId="49F00DA1">
      <w:pPr>
        <w:widowControl/>
        <w:numPr>
          <w:ilvl w:val="0"/>
          <w:numId w:val="19"/>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采购发票</w:t>
      </w:r>
    </w:p>
    <w:p w14:paraId="5F5A1195">
      <w:pPr>
        <w:spacing w:line="360" w:lineRule="auto"/>
        <w:ind w:firstLine="420" w:firstLineChars="200"/>
        <w:rPr>
          <w:rFonts w:ascii="宋体" w:hAnsi="宋体" w:cs="宋体"/>
          <w:color w:val="auto"/>
        </w:rPr>
      </w:pPr>
      <w:r>
        <w:rPr>
          <w:rFonts w:hint="eastAsia" w:ascii="宋体" w:hAnsi="宋体" w:cs="宋体"/>
          <w:color w:val="auto"/>
        </w:rPr>
        <w:t>资产采购动作发生后，供应商开具发票到医院，由医院的相关科室对采购发票进行操作处理，采购发票只有新增的采购发票才可以编辑删除，对采购发票进行增、删、改、查、提交审核业务操作。</w:t>
      </w:r>
    </w:p>
    <w:p w14:paraId="04FE8B67">
      <w:pPr>
        <w:widowControl/>
        <w:numPr>
          <w:ilvl w:val="0"/>
          <w:numId w:val="19"/>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采购发票明细查询</w:t>
      </w:r>
    </w:p>
    <w:p w14:paraId="4830F58D">
      <w:pPr>
        <w:spacing w:line="360" w:lineRule="auto"/>
        <w:ind w:firstLine="420" w:firstLineChars="200"/>
        <w:rPr>
          <w:rFonts w:ascii="宋体" w:hAnsi="宋体" w:cs="宋体"/>
          <w:color w:val="auto"/>
        </w:rPr>
      </w:pPr>
      <w:r>
        <w:rPr>
          <w:rFonts w:hint="eastAsia" w:ascii="宋体" w:hAnsi="宋体" w:cs="宋体"/>
          <w:color w:val="auto"/>
        </w:rPr>
        <w:t>在采购发票功能下对采购发票明细信息进行查询。</w:t>
      </w:r>
    </w:p>
    <w:p w14:paraId="12068539">
      <w:pPr>
        <w:widowControl/>
        <w:numPr>
          <w:ilvl w:val="0"/>
          <w:numId w:val="19"/>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货到未开票清单</w:t>
      </w:r>
    </w:p>
    <w:p w14:paraId="4B40C4B1">
      <w:pPr>
        <w:spacing w:line="360" w:lineRule="auto"/>
        <w:ind w:firstLine="420" w:firstLineChars="200"/>
        <w:rPr>
          <w:rFonts w:ascii="宋体" w:hAnsi="宋体" w:cs="宋体"/>
          <w:color w:val="auto"/>
        </w:rPr>
      </w:pPr>
      <w:r>
        <w:rPr>
          <w:rFonts w:hint="eastAsia" w:ascii="宋体" w:hAnsi="宋体" w:cs="宋体"/>
          <w:color w:val="auto"/>
        </w:rPr>
        <w:t>很多情况都是货到票未到的情况，因此系统也针对这一现状作出对货到未开票清单进行查询的功能，方便医院统计与供应商对账，并在后续工作中高效准确的通知供应商开票。</w:t>
      </w:r>
    </w:p>
    <w:p w14:paraId="67ABC0E9">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4.7.10</w:t>
      </w:r>
      <w:r>
        <w:rPr>
          <w:rFonts w:hint="eastAsia" w:ascii="宋体" w:hAnsi="宋体"/>
          <w:b/>
          <w:bCs/>
          <w:color w:val="auto"/>
          <w:sz w:val="21"/>
          <w:szCs w:val="22"/>
          <w:lang w:eastAsia="zh-CN"/>
        </w:rPr>
        <w:t>财务报表</w:t>
      </w:r>
    </w:p>
    <w:p w14:paraId="0774E1AD">
      <w:pPr>
        <w:spacing w:line="360" w:lineRule="auto"/>
        <w:ind w:firstLine="420" w:firstLineChars="200"/>
        <w:rPr>
          <w:rFonts w:ascii="宋体" w:hAnsi="宋体" w:cs="宋体"/>
          <w:color w:val="auto"/>
        </w:rPr>
      </w:pPr>
      <w:r>
        <w:rPr>
          <w:rFonts w:hint="eastAsia" w:ascii="宋体" w:hAnsi="宋体" w:cs="宋体"/>
          <w:color w:val="auto"/>
        </w:rPr>
        <w:t>提供财务报表统计查询功能，包括折旧账表、资产月报、资产总账、变动账表、资产入库分析账表等。</w:t>
      </w:r>
    </w:p>
    <w:p w14:paraId="7FB08A19">
      <w:pPr>
        <w:widowControl/>
        <w:numPr>
          <w:ilvl w:val="0"/>
          <w:numId w:val="20"/>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折旧账表</w:t>
      </w:r>
    </w:p>
    <w:p w14:paraId="12CEA6E2">
      <w:pPr>
        <w:spacing w:line="360" w:lineRule="auto"/>
        <w:ind w:firstLine="420" w:firstLineChars="200"/>
        <w:rPr>
          <w:rFonts w:ascii="宋体" w:hAnsi="宋体" w:cs="宋体"/>
          <w:color w:val="auto"/>
        </w:rPr>
      </w:pPr>
      <w:r>
        <w:rPr>
          <w:rFonts w:hint="eastAsia" w:ascii="宋体" w:hAnsi="宋体" w:cs="宋体"/>
          <w:color w:val="auto"/>
        </w:rPr>
        <w:t>提供固定资产的各种折旧分摊报表。包括有折旧到期表、当期折旧明细表、资产折旧汇总表、折旧费用分配表、折旧计提汇总表等功能。</w:t>
      </w:r>
    </w:p>
    <w:p w14:paraId="4C8A2A29">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资产月报</w:t>
      </w:r>
    </w:p>
    <w:p w14:paraId="44B1AB34">
      <w:pPr>
        <w:spacing w:line="360" w:lineRule="auto"/>
        <w:ind w:firstLine="420" w:firstLineChars="200"/>
        <w:rPr>
          <w:rFonts w:ascii="宋体" w:hAnsi="宋体" w:cs="宋体"/>
          <w:color w:val="auto"/>
        </w:rPr>
      </w:pPr>
      <w:r>
        <w:rPr>
          <w:rFonts w:hint="eastAsia" w:ascii="宋体" w:hAnsi="宋体" w:cs="宋体"/>
          <w:color w:val="auto"/>
        </w:rPr>
        <w:t>提供固定资产的月度情况报表。</w:t>
      </w:r>
    </w:p>
    <w:p w14:paraId="6F2BB575">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资产总账</w:t>
      </w:r>
    </w:p>
    <w:p w14:paraId="088AE7A6">
      <w:pPr>
        <w:spacing w:line="360" w:lineRule="auto"/>
        <w:ind w:firstLine="420" w:firstLineChars="200"/>
        <w:rPr>
          <w:rFonts w:ascii="宋体" w:hAnsi="宋体" w:cs="宋体"/>
          <w:color w:val="auto"/>
        </w:rPr>
      </w:pPr>
      <w:r>
        <w:rPr>
          <w:rFonts w:hint="eastAsia" w:ascii="宋体" w:hAnsi="宋体" w:cs="宋体"/>
          <w:color w:val="auto"/>
        </w:rPr>
        <w:t>提供当期资产价值的总账。</w:t>
      </w:r>
    </w:p>
    <w:p w14:paraId="344AA712">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变动账表</w:t>
      </w:r>
    </w:p>
    <w:p w14:paraId="500A18EE">
      <w:pPr>
        <w:spacing w:line="360" w:lineRule="auto"/>
        <w:ind w:firstLine="420" w:firstLineChars="200"/>
        <w:rPr>
          <w:rFonts w:ascii="宋体" w:hAnsi="宋体" w:cs="宋体"/>
          <w:color w:val="auto"/>
        </w:rPr>
      </w:pPr>
      <w:r>
        <w:rPr>
          <w:rFonts w:hint="eastAsia" w:ascii="宋体" w:hAnsi="宋体" w:cs="宋体"/>
          <w:color w:val="auto"/>
        </w:rPr>
        <w:t>提供资产价值变动情况账表</w:t>
      </w:r>
    </w:p>
    <w:p w14:paraId="192D4938">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资产入库分析表</w:t>
      </w:r>
    </w:p>
    <w:p w14:paraId="2ED1B6BB">
      <w:pPr>
        <w:spacing w:line="360" w:lineRule="auto"/>
        <w:ind w:firstLine="420" w:firstLineChars="200"/>
        <w:rPr>
          <w:rFonts w:ascii="宋体" w:hAnsi="宋体" w:cs="宋体"/>
          <w:color w:val="auto"/>
        </w:rPr>
      </w:pPr>
      <w:r>
        <w:rPr>
          <w:rFonts w:hint="eastAsia" w:ascii="宋体" w:hAnsi="宋体" w:cs="宋体"/>
          <w:color w:val="auto"/>
        </w:rPr>
        <w:t>提供资产入库情况分析表。</w:t>
      </w:r>
    </w:p>
    <w:p w14:paraId="380AD1E3">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折旧汇总表</w:t>
      </w:r>
    </w:p>
    <w:p w14:paraId="6DE8F372">
      <w:pPr>
        <w:spacing w:line="360" w:lineRule="auto"/>
        <w:ind w:firstLine="420" w:firstLineChars="200"/>
        <w:rPr>
          <w:rFonts w:ascii="宋体" w:hAnsi="宋体" w:cs="宋体"/>
          <w:color w:val="auto"/>
        </w:rPr>
      </w:pPr>
      <w:r>
        <w:rPr>
          <w:rFonts w:hint="eastAsia" w:ascii="宋体" w:hAnsi="宋体" w:cs="宋体"/>
          <w:color w:val="auto"/>
        </w:rPr>
        <w:t>提供资产当期折旧情况的统计表</w:t>
      </w:r>
    </w:p>
    <w:p w14:paraId="1B8DF44F">
      <w:pPr>
        <w:widowControl/>
        <w:numPr>
          <w:ilvl w:val="0"/>
          <w:numId w:val="20"/>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折旧明细表</w:t>
      </w:r>
    </w:p>
    <w:p w14:paraId="20BA87E9">
      <w:pPr>
        <w:spacing w:line="360" w:lineRule="auto"/>
        <w:ind w:firstLine="420" w:firstLineChars="200"/>
        <w:rPr>
          <w:rFonts w:ascii="宋体" w:hAnsi="宋体" w:cs="宋体"/>
          <w:color w:val="auto"/>
        </w:rPr>
      </w:pPr>
      <w:r>
        <w:rPr>
          <w:rFonts w:hint="eastAsia" w:ascii="宋体" w:hAnsi="宋体" w:cs="宋体"/>
          <w:color w:val="auto"/>
        </w:rPr>
        <w:t>提供资产当期折旧情况的明细表</w:t>
      </w:r>
    </w:p>
    <w:p w14:paraId="3FB5F137">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4.7.11</w:t>
      </w:r>
      <w:r>
        <w:rPr>
          <w:rFonts w:hint="eastAsia" w:ascii="宋体" w:hAnsi="宋体"/>
          <w:b/>
          <w:bCs/>
          <w:color w:val="auto"/>
          <w:sz w:val="21"/>
          <w:szCs w:val="22"/>
          <w:lang w:eastAsia="zh-CN"/>
        </w:rPr>
        <w:t>管理报表</w:t>
      </w:r>
    </w:p>
    <w:p w14:paraId="0AD74FBD">
      <w:pPr>
        <w:spacing w:line="360" w:lineRule="auto"/>
        <w:ind w:firstLine="420" w:firstLineChars="200"/>
        <w:rPr>
          <w:rFonts w:ascii="宋体" w:hAnsi="宋体" w:cs="宋体"/>
          <w:color w:val="auto"/>
        </w:rPr>
      </w:pPr>
      <w:r>
        <w:rPr>
          <w:rFonts w:hint="eastAsia" w:ascii="宋体" w:hAnsi="宋体" w:cs="宋体"/>
          <w:color w:val="auto"/>
        </w:rPr>
        <w:t>提供管理报表统计查询功能，包括资产增减、资产分布、科室资产分布及资产入库、出库报表等。</w:t>
      </w:r>
    </w:p>
    <w:p w14:paraId="017C0A5F">
      <w:pPr>
        <w:widowControl/>
        <w:numPr>
          <w:ilvl w:val="0"/>
          <w:numId w:val="21"/>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资产增减表</w:t>
      </w:r>
    </w:p>
    <w:p w14:paraId="7262043F">
      <w:pPr>
        <w:spacing w:line="360" w:lineRule="auto"/>
        <w:ind w:firstLine="420" w:firstLineChars="200"/>
        <w:rPr>
          <w:rFonts w:ascii="宋体" w:hAnsi="宋体" w:cs="宋体"/>
          <w:color w:val="auto"/>
        </w:rPr>
      </w:pPr>
      <w:r>
        <w:rPr>
          <w:rFonts w:hint="eastAsia" w:ascii="宋体" w:hAnsi="宋体" w:cs="宋体"/>
          <w:color w:val="auto"/>
        </w:rPr>
        <w:t>提供当期资产的增减情况表。</w:t>
      </w:r>
    </w:p>
    <w:p w14:paraId="2482BCBD">
      <w:pPr>
        <w:widowControl/>
        <w:numPr>
          <w:ilvl w:val="0"/>
          <w:numId w:val="21"/>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资产分布</w:t>
      </w:r>
    </w:p>
    <w:p w14:paraId="35E7F1CC">
      <w:pPr>
        <w:spacing w:line="360" w:lineRule="auto"/>
        <w:ind w:firstLine="420" w:firstLineChars="200"/>
        <w:rPr>
          <w:rFonts w:ascii="宋体" w:hAnsi="宋体" w:cs="宋体"/>
          <w:color w:val="auto"/>
        </w:rPr>
      </w:pPr>
      <w:r>
        <w:rPr>
          <w:rFonts w:hint="eastAsia" w:ascii="宋体" w:hAnsi="宋体" w:cs="宋体"/>
          <w:color w:val="auto"/>
        </w:rPr>
        <w:t>提供当期资产的分布情况分析表。</w:t>
      </w:r>
    </w:p>
    <w:p w14:paraId="58001EA2">
      <w:pPr>
        <w:widowControl/>
        <w:numPr>
          <w:ilvl w:val="0"/>
          <w:numId w:val="21"/>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入库报表</w:t>
      </w:r>
    </w:p>
    <w:p w14:paraId="5AD0BDA7">
      <w:pPr>
        <w:spacing w:line="360" w:lineRule="auto"/>
        <w:ind w:firstLine="420" w:firstLineChars="200"/>
        <w:rPr>
          <w:rFonts w:ascii="宋体" w:hAnsi="宋体" w:cs="宋体"/>
          <w:color w:val="auto"/>
        </w:rPr>
      </w:pPr>
      <w:r>
        <w:rPr>
          <w:rFonts w:hint="eastAsia" w:ascii="宋体" w:hAnsi="宋体" w:cs="宋体"/>
          <w:color w:val="auto"/>
        </w:rPr>
        <w:t>提供资产当期的入库情况报表。</w:t>
      </w:r>
    </w:p>
    <w:p w14:paraId="044FC82B">
      <w:pPr>
        <w:widowControl/>
        <w:numPr>
          <w:ilvl w:val="0"/>
          <w:numId w:val="21"/>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入出库变动表</w:t>
      </w:r>
    </w:p>
    <w:p w14:paraId="31476808">
      <w:pPr>
        <w:spacing w:line="360" w:lineRule="auto"/>
        <w:ind w:firstLine="420" w:firstLineChars="200"/>
        <w:rPr>
          <w:rFonts w:ascii="宋体" w:hAnsi="宋体" w:cs="宋体"/>
          <w:color w:val="auto"/>
        </w:rPr>
      </w:pPr>
      <w:r>
        <w:rPr>
          <w:rFonts w:hint="eastAsia" w:ascii="宋体" w:hAnsi="宋体" w:cs="宋体"/>
          <w:color w:val="auto"/>
        </w:rPr>
        <w:t>提供当期资产入库变动情况表</w:t>
      </w:r>
    </w:p>
    <w:p w14:paraId="267FB465">
      <w:pPr>
        <w:widowControl/>
        <w:numPr>
          <w:ilvl w:val="0"/>
          <w:numId w:val="21"/>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出库报表</w:t>
      </w:r>
    </w:p>
    <w:p w14:paraId="149EE911">
      <w:pPr>
        <w:spacing w:line="360" w:lineRule="auto"/>
        <w:ind w:firstLine="420" w:firstLineChars="200"/>
        <w:rPr>
          <w:rFonts w:ascii="宋体" w:hAnsi="宋体" w:cs="宋体"/>
          <w:color w:val="auto"/>
        </w:rPr>
      </w:pPr>
      <w:r>
        <w:rPr>
          <w:rFonts w:hint="eastAsia" w:ascii="宋体" w:hAnsi="宋体" w:cs="宋体"/>
          <w:color w:val="auto"/>
        </w:rPr>
        <w:t>提供当期资产出库情况报表。</w:t>
      </w:r>
    </w:p>
    <w:p w14:paraId="1AA6A86D">
      <w:pPr>
        <w:widowControl/>
        <w:numPr>
          <w:ilvl w:val="0"/>
          <w:numId w:val="21"/>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科室资产分布</w:t>
      </w:r>
    </w:p>
    <w:p w14:paraId="7D0C6424">
      <w:pPr>
        <w:spacing w:line="360" w:lineRule="auto"/>
        <w:ind w:firstLine="420" w:firstLineChars="200"/>
        <w:rPr>
          <w:rFonts w:ascii="宋体" w:hAnsi="宋体" w:cs="宋体"/>
          <w:color w:val="auto"/>
        </w:rPr>
      </w:pPr>
      <w:r>
        <w:rPr>
          <w:rFonts w:hint="eastAsia" w:ascii="宋体" w:hAnsi="宋体" w:cs="宋体"/>
          <w:color w:val="auto"/>
        </w:rPr>
        <w:t>提供当期资产的科室分布情况分析。</w:t>
      </w:r>
    </w:p>
    <w:p w14:paraId="1912C413">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4.7.12</w:t>
      </w:r>
      <w:r>
        <w:rPr>
          <w:rFonts w:hint="eastAsia" w:ascii="宋体" w:hAnsi="宋体"/>
          <w:b/>
          <w:bCs/>
          <w:color w:val="auto"/>
          <w:sz w:val="21"/>
          <w:szCs w:val="22"/>
          <w:lang w:eastAsia="zh-CN"/>
        </w:rPr>
        <w:t>系统设置</w:t>
      </w:r>
    </w:p>
    <w:p w14:paraId="6535B39C">
      <w:pPr>
        <w:widowControl/>
        <w:numPr>
          <w:ilvl w:val="0"/>
          <w:numId w:val="22"/>
        </w:numPr>
        <w:spacing w:line="360" w:lineRule="auto"/>
        <w:ind w:left="845"/>
        <w:jc w:val="left"/>
        <w:rPr>
          <w:rFonts w:ascii="宋体" w:hAnsi="宋体" w:cs="宋体"/>
          <w:b w:val="0"/>
          <w:bCs w:val="0"/>
          <w:color w:val="auto"/>
          <w:kern w:val="0"/>
        </w:rPr>
      </w:pPr>
      <w:r>
        <w:rPr>
          <w:rFonts w:hint="eastAsia" w:ascii="宋体" w:hAnsi="宋体" w:cs="宋体"/>
          <w:b w:val="0"/>
          <w:bCs w:val="0"/>
          <w:color w:val="auto"/>
          <w:kern w:val="0"/>
        </w:rPr>
        <w:t>基础字典</w:t>
      </w:r>
    </w:p>
    <w:p w14:paraId="663EADE8">
      <w:pPr>
        <w:spacing w:line="360" w:lineRule="auto"/>
        <w:ind w:firstLine="420" w:firstLineChars="200"/>
        <w:rPr>
          <w:rFonts w:ascii="宋体" w:hAnsi="宋体" w:cs="宋体"/>
          <w:color w:val="auto"/>
        </w:rPr>
      </w:pPr>
      <w:r>
        <w:rPr>
          <w:rFonts w:hint="eastAsia" w:ascii="宋体" w:hAnsi="宋体" w:cs="宋体"/>
          <w:color w:val="auto"/>
        </w:rPr>
        <w:t>对系统用到的基础档案信息进行集中设置。包括有资产使用状态、资产属性、卡片类别、资产用途等功能。</w:t>
      </w:r>
    </w:p>
    <w:p w14:paraId="6DC6FD5C">
      <w:pPr>
        <w:widowControl/>
        <w:numPr>
          <w:ilvl w:val="0"/>
          <w:numId w:val="22"/>
        </w:numPr>
        <w:spacing w:line="360" w:lineRule="auto"/>
        <w:ind w:left="845"/>
        <w:jc w:val="left"/>
        <w:rPr>
          <w:rFonts w:hint="eastAsia" w:ascii="宋体" w:hAnsi="宋体" w:cs="宋体"/>
          <w:b w:val="0"/>
          <w:bCs w:val="0"/>
          <w:color w:val="auto"/>
          <w:kern w:val="0"/>
        </w:rPr>
      </w:pPr>
      <w:r>
        <w:rPr>
          <w:rFonts w:hint="eastAsia" w:ascii="宋体" w:hAnsi="宋体" w:cs="宋体"/>
          <w:b w:val="0"/>
          <w:bCs w:val="0"/>
          <w:color w:val="auto"/>
          <w:kern w:val="0"/>
        </w:rPr>
        <w:t>基础设置</w:t>
      </w:r>
    </w:p>
    <w:p w14:paraId="5C223766">
      <w:pPr>
        <w:spacing w:line="360" w:lineRule="auto"/>
        <w:ind w:firstLine="420" w:firstLineChars="200"/>
        <w:rPr>
          <w:rFonts w:hint="eastAsia" w:ascii="宋体" w:hAnsi="宋体" w:cs="宋体"/>
          <w:color w:val="auto"/>
        </w:rPr>
      </w:pPr>
      <w:r>
        <w:rPr>
          <w:rFonts w:hint="eastAsia" w:ascii="宋体" w:hAnsi="宋体" w:cs="宋体"/>
          <w:color w:val="auto"/>
        </w:rPr>
        <w:t>对系统用到的基础配置信息进行集中设置。包括有SN号必输设置、资产卡片设置、资产验收项目、采购类型等功能。</w:t>
      </w:r>
    </w:p>
    <w:p w14:paraId="27CCD897">
      <w:pPr>
        <w:spacing w:line="360" w:lineRule="auto"/>
        <w:ind w:firstLine="420" w:firstLineChars="200"/>
        <w:rPr>
          <w:rFonts w:hint="eastAsia" w:ascii="宋体" w:hAnsi="宋体" w:cs="宋体"/>
          <w:color w:val="auto"/>
        </w:rPr>
      </w:pPr>
    </w:p>
    <w:p w14:paraId="18428198">
      <w:pPr>
        <w:pStyle w:val="3"/>
        <w:numPr>
          <w:ilvl w:val="-1"/>
          <w:numId w:val="0"/>
        </w:numPr>
        <w:spacing w:before="0" w:after="0" w:line="360" w:lineRule="auto"/>
        <w:ind w:left="0" w:firstLine="0"/>
        <w:rPr>
          <w:rFonts w:hint="eastAsia" w:ascii="宋体" w:hAnsi="宋体" w:eastAsia="宋体" w:cs="宋体"/>
          <w:color w:val="auto"/>
          <w:sz w:val="28"/>
          <w:szCs w:val="28"/>
        </w:rPr>
      </w:pPr>
      <w:bookmarkStart w:id="178" w:name="_Toc26945"/>
      <w:bookmarkStart w:id="179" w:name="_Toc11039"/>
      <w:bookmarkStart w:id="180" w:name="_Toc24251"/>
      <w:r>
        <w:rPr>
          <w:rFonts w:hint="eastAsia" w:ascii="宋体" w:hAnsi="宋体" w:cs="宋体"/>
          <w:color w:val="auto"/>
          <w:sz w:val="28"/>
          <w:szCs w:val="28"/>
          <w:lang w:val="en-US" w:eastAsia="zh-CN"/>
        </w:rPr>
        <w:t>4.8</w:t>
      </w:r>
      <w:r>
        <w:rPr>
          <w:rFonts w:hint="eastAsia" w:ascii="宋体" w:hAnsi="宋体" w:eastAsia="宋体" w:cs="宋体"/>
          <w:color w:val="auto"/>
          <w:sz w:val="28"/>
          <w:szCs w:val="28"/>
        </w:rPr>
        <w:t xml:space="preserve"> 合同管理</w:t>
      </w:r>
      <w:bookmarkEnd w:id="178"/>
      <w:bookmarkEnd w:id="179"/>
      <w:bookmarkEnd w:id="180"/>
    </w:p>
    <w:p w14:paraId="4000AB96">
      <w:pPr>
        <w:spacing w:line="360" w:lineRule="auto"/>
        <w:ind w:firstLine="420" w:firstLineChars="200"/>
        <w:rPr>
          <w:rFonts w:hint="eastAsia" w:ascii="宋体" w:hAnsi="宋体" w:eastAsia="宋体"/>
          <w:color w:val="auto"/>
        </w:rPr>
      </w:pPr>
      <w:r>
        <w:rPr>
          <w:rFonts w:hint="eastAsia" w:ascii="宋体" w:hAnsi="宋体" w:eastAsia="宋体"/>
          <w:color w:val="auto"/>
        </w:rPr>
        <w:t>合同范围基本包括：</w:t>
      </w:r>
    </w:p>
    <w:p w14:paraId="680DAC0F">
      <w:pPr>
        <w:spacing w:line="360" w:lineRule="auto"/>
        <w:ind w:firstLine="420" w:firstLineChars="200"/>
        <w:rPr>
          <w:rFonts w:hint="eastAsia" w:ascii="宋体" w:hAnsi="宋体" w:eastAsia="宋体"/>
          <w:color w:val="auto"/>
        </w:rPr>
      </w:pPr>
      <w:r>
        <w:rPr>
          <w:rFonts w:ascii="宋体" w:hAnsi="宋体" w:eastAsia="宋体"/>
          <w:color w:val="auto"/>
        </w:rPr>
        <w:t>1、</w:t>
      </w:r>
      <w:r>
        <w:rPr>
          <w:rFonts w:ascii="宋体" w:hAnsi="宋体" w:eastAsia="宋体"/>
          <w:color w:val="auto"/>
        </w:rPr>
        <w:tab/>
      </w:r>
      <w:r>
        <w:rPr>
          <w:rFonts w:ascii="宋体" w:hAnsi="宋体" w:eastAsia="宋体"/>
          <w:color w:val="auto"/>
        </w:rPr>
        <w:t>付款合同(协议)主要包括采购合同、维修合同、维保合同、服务合同(水电、物业等)等</w:t>
      </w:r>
    </w:p>
    <w:p w14:paraId="032CFD07">
      <w:pPr>
        <w:spacing w:line="360" w:lineRule="auto"/>
        <w:ind w:firstLine="420" w:firstLineChars="200"/>
        <w:rPr>
          <w:rFonts w:hint="eastAsia" w:ascii="宋体" w:hAnsi="宋体" w:eastAsia="宋体"/>
          <w:color w:val="auto"/>
        </w:rPr>
      </w:pPr>
      <w:r>
        <w:rPr>
          <w:rFonts w:ascii="宋体" w:hAnsi="宋体" w:eastAsia="宋体"/>
          <w:color w:val="auto"/>
        </w:rPr>
        <w:t>2、</w:t>
      </w:r>
      <w:r>
        <w:rPr>
          <w:rFonts w:ascii="宋体" w:hAnsi="宋体" w:eastAsia="宋体"/>
          <w:color w:val="auto"/>
        </w:rPr>
        <w:tab/>
      </w:r>
      <w:r>
        <w:rPr>
          <w:rFonts w:ascii="宋体" w:hAnsi="宋体" w:eastAsia="宋体"/>
          <w:color w:val="auto"/>
        </w:rPr>
        <w:t>收款合同(协议)主要包括房屋出租合同、水电代收代付合同等</w:t>
      </w:r>
      <w:r>
        <w:rPr>
          <w:rFonts w:hint="eastAsia" w:ascii="宋体" w:hAnsi="宋体" w:eastAsia="宋体"/>
          <w:color w:val="auto"/>
        </w:rPr>
        <w:t>。</w:t>
      </w:r>
    </w:p>
    <w:p w14:paraId="6F741625">
      <w:pPr>
        <w:spacing w:line="360" w:lineRule="auto"/>
        <w:ind w:firstLine="420" w:firstLineChars="200"/>
        <w:rPr>
          <w:rFonts w:hint="eastAsia" w:ascii="宋体" w:hAnsi="宋体" w:eastAsia="宋体"/>
          <w:color w:val="auto"/>
        </w:rPr>
      </w:pPr>
      <w:r>
        <w:rPr>
          <w:rFonts w:hint="eastAsia" w:ascii="宋体" w:hAnsi="宋体" w:eastAsia="宋体"/>
          <w:color w:val="auto"/>
        </w:rPr>
        <w:t>具体业务要求为：</w:t>
      </w:r>
    </w:p>
    <w:p w14:paraId="06F634BD">
      <w:pPr>
        <w:spacing w:line="360" w:lineRule="auto"/>
        <w:ind w:firstLine="424" w:firstLineChars="202"/>
        <w:rPr>
          <w:rFonts w:hint="eastAsia" w:ascii="宋体" w:hAnsi="宋体" w:eastAsia="宋体" w:cs="Times New Roman"/>
          <w:color w:val="auto"/>
          <w:szCs w:val="24"/>
        </w:rPr>
      </w:pPr>
      <w:r>
        <w:rPr>
          <w:rFonts w:ascii="宋体" w:hAnsi="宋体" w:eastAsia="宋体" w:cs="Times New Roman"/>
          <w:color w:val="auto"/>
          <w:szCs w:val="24"/>
        </w:rPr>
        <w:t>(1)</w:t>
      </w:r>
      <w:r>
        <w:rPr>
          <w:rFonts w:hint="eastAsia" w:ascii="宋体" w:hAnsi="宋体" w:eastAsia="宋体" w:cs="Times New Roman"/>
          <w:color w:val="auto"/>
          <w:szCs w:val="24"/>
        </w:rPr>
        <w:t xml:space="preserve"> </w:t>
      </w:r>
      <w:r>
        <w:rPr>
          <w:rFonts w:ascii="宋体" w:hAnsi="宋体" w:eastAsia="宋体" w:cs="Times New Roman"/>
          <w:color w:val="auto"/>
          <w:szCs w:val="24"/>
        </w:rPr>
        <w:t>能够根据合同类型，按照各处室的管理要求，设定合同查询权限，不同管理人员能够查看自己权责范围内的合同。比如分院只能查看和本分院相关的合同、付款情况等；</w:t>
      </w:r>
    </w:p>
    <w:p w14:paraId="17C6DDAE">
      <w:pPr>
        <w:spacing w:line="360" w:lineRule="auto"/>
        <w:ind w:firstLine="424" w:firstLineChars="202"/>
        <w:rPr>
          <w:rFonts w:hint="eastAsia" w:ascii="宋体" w:hAnsi="宋体" w:eastAsia="宋体" w:cs="Times New Roman"/>
          <w:color w:val="auto"/>
          <w:szCs w:val="24"/>
        </w:rPr>
      </w:pPr>
      <w:r>
        <w:rPr>
          <w:rFonts w:ascii="宋体" w:hAnsi="宋体" w:eastAsia="宋体" w:cs="Times New Roman"/>
          <w:color w:val="auto"/>
          <w:szCs w:val="24"/>
        </w:rPr>
        <w:t>(2) 合同管理录入合同关键信息即可，电子文本采用盖章后的合同扫描件上传管理，便于后续的合同查阅；付款方式需要支持一次性付款和分期付款；</w:t>
      </w:r>
    </w:p>
    <w:p w14:paraId="5C5C6C79">
      <w:pPr>
        <w:spacing w:line="360" w:lineRule="auto"/>
        <w:ind w:firstLine="424" w:firstLineChars="202"/>
        <w:rPr>
          <w:rFonts w:hint="eastAsia" w:ascii="宋体" w:hAnsi="宋体" w:eastAsia="宋体" w:cs="Times New Roman"/>
          <w:color w:val="auto"/>
          <w:szCs w:val="24"/>
        </w:rPr>
      </w:pPr>
      <w:r>
        <w:rPr>
          <w:rFonts w:ascii="宋体" w:hAnsi="宋体" w:eastAsia="宋体" w:cs="Times New Roman"/>
          <w:color w:val="auto"/>
          <w:szCs w:val="24"/>
        </w:rPr>
        <w:t>(3) 有明确金额的付款合同，在合同录入环节进行预算核销；</w:t>
      </w:r>
    </w:p>
    <w:p w14:paraId="46E221B7">
      <w:pPr>
        <w:spacing w:line="360" w:lineRule="auto"/>
        <w:ind w:firstLine="424" w:firstLineChars="202"/>
        <w:rPr>
          <w:rFonts w:hint="eastAsia" w:ascii="宋体" w:hAnsi="宋体" w:eastAsia="宋体" w:cs="Times New Roman"/>
          <w:color w:val="auto"/>
          <w:szCs w:val="24"/>
        </w:rPr>
      </w:pPr>
      <w:r>
        <w:rPr>
          <w:rFonts w:ascii="宋体" w:hAnsi="宋体" w:eastAsia="宋体" w:cs="Times New Roman"/>
          <w:color w:val="auto"/>
          <w:szCs w:val="24"/>
        </w:rPr>
        <w:t>(4) 无明确付款额度的付款合同(协议)，比如物业管理合同，根据每个月的实际服务人员确定付款金额，在付款环节进行预算核销；</w:t>
      </w:r>
    </w:p>
    <w:p w14:paraId="43F25B1F">
      <w:pPr>
        <w:spacing w:line="360" w:lineRule="auto"/>
        <w:ind w:firstLine="424" w:firstLineChars="202"/>
        <w:rPr>
          <w:rFonts w:hint="eastAsia" w:ascii="宋体" w:hAnsi="宋体" w:eastAsia="宋体" w:cs="Times New Roman"/>
          <w:color w:val="auto"/>
          <w:szCs w:val="24"/>
        </w:rPr>
      </w:pPr>
      <w:r>
        <w:rPr>
          <w:rFonts w:hint="eastAsia" w:ascii="宋体" w:hAnsi="宋体" w:eastAsia="宋体" w:cs="Times New Roman"/>
          <w:color w:val="auto"/>
          <w:szCs w:val="24"/>
        </w:rPr>
        <w:t>（</w:t>
      </w:r>
      <w:r>
        <w:rPr>
          <w:rFonts w:ascii="宋体" w:hAnsi="宋体" w:eastAsia="宋体" w:cs="Times New Roman"/>
          <w:color w:val="auto"/>
          <w:szCs w:val="24"/>
        </w:rPr>
        <w:t>5）合同付款支持预付款、分期付款；</w:t>
      </w:r>
    </w:p>
    <w:p w14:paraId="7A532196">
      <w:pPr>
        <w:spacing w:line="360" w:lineRule="auto"/>
        <w:ind w:firstLine="424" w:firstLineChars="202"/>
        <w:rPr>
          <w:rFonts w:hint="eastAsia" w:ascii="宋体" w:hAnsi="宋体" w:eastAsia="宋体" w:cs="Times New Roman"/>
          <w:color w:val="auto"/>
          <w:szCs w:val="24"/>
        </w:rPr>
      </w:pPr>
      <w:r>
        <w:rPr>
          <w:rFonts w:hint="eastAsia" w:ascii="宋体" w:hAnsi="宋体" w:eastAsia="宋体" w:cs="Times New Roman"/>
          <w:color w:val="auto"/>
          <w:szCs w:val="24"/>
        </w:rPr>
        <w:t>（</w:t>
      </w:r>
      <w:r>
        <w:rPr>
          <w:rFonts w:ascii="宋体" w:hAnsi="宋体" w:eastAsia="宋体" w:cs="Times New Roman"/>
          <w:color w:val="auto"/>
          <w:szCs w:val="24"/>
        </w:rPr>
        <w:t>6）支持合同到期未收付款或未到期付款的预警功能；</w:t>
      </w:r>
    </w:p>
    <w:p w14:paraId="49722375">
      <w:pPr>
        <w:spacing w:line="360" w:lineRule="auto"/>
        <w:ind w:firstLine="424" w:firstLineChars="202"/>
        <w:rPr>
          <w:rFonts w:hint="eastAsia" w:ascii="宋体" w:hAnsi="宋体" w:eastAsia="宋体" w:cs="Times New Roman"/>
          <w:color w:val="auto"/>
          <w:szCs w:val="24"/>
        </w:rPr>
      </w:pPr>
      <w:r>
        <w:rPr>
          <w:rFonts w:hint="eastAsia" w:ascii="宋体" w:hAnsi="宋体" w:eastAsia="宋体" w:cs="Times New Roman"/>
          <w:color w:val="auto"/>
          <w:szCs w:val="24"/>
        </w:rPr>
        <w:t>（</w:t>
      </w:r>
      <w:r>
        <w:rPr>
          <w:rFonts w:ascii="宋体" w:hAnsi="宋体" w:eastAsia="宋体" w:cs="Times New Roman"/>
          <w:color w:val="auto"/>
          <w:szCs w:val="24"/>
        </w:rPr>
        <w:t>7）支持用款计划与合同付款相关联</w:t>
      </w:r>
      <w:r>
        <w:rPr>
          <w:rFonts w:hint="eastAsia" w:ascii="宋体" w:hAnsi="宋体" w:eastAsia="宋体" w:cs="Times New Roman"/>
          <w:color w:val="auto"/>
          <w:szCs w:val="24"/>
        </w:rPr>
        <w:t>, 付款成功后，回写用款计划的付款金额，并支持相关财务系统应用；</w:t>
      </w:r>
    </w:p>
    <w:p w14:paraId="2693C036">
      <w:pPr>
        <w:spacing w:line="360" w:lineRule="auto"/>
        <w:ind w:firstLine="424" w:firstLineChars="202"/>
        <w:rPr>
          <w:rFonts w:hint="eastAsia" w:ascii="宋体" w:hAnsi="宋体" w:eastAsia="宋体" w:cs="Times New Roman"/>
          <w:color w:val="auto"/>
          <w:szCs w:val="24"/>
        </w:rPr>
      </w:pPr>
      <w:r>
        <w:rPr>
          <w:rFonts w:hint="eastAsia" w:ascii="宋体" w:hAnsi="宋体" w:eastAsia="宋体" w:cs="Times New Roman"/>
          <w:color w:val="auto"/>
          <w:szCs w:val="24"/>
        </w:rPr>
        <w:t>(</w:t>
      </w:r>
      <w:r>
        <w:rPr>
          <w:rFonts w:ascii="宋体" w:hAnsi="宋体" w:eastAsia="宋体" w:cs="Times New Roman"/>
          <w:color w:val="auto"/>
          <w:szCs w:val="24"/>
        </w:rPr>
        <w:t xml:space="preserve">8) </w:t>
      </w:r>
      <w:r>
        <w:rPr>
          <w:rFonts w:hint="eastAsia" w:ascii="宋体" w:hAnsi="宋体" w:eastAsia="宋体" w:cs="Times New Roman"/>
          <w:color w:val="auto"/>
          <w:szCs w:val="24"/>
        </w:rPr>
        <w:t>支持合同统计报表；</w:t>
      </w:r>
    </w:p>
    <w:p w14:paraId="59E59238">
      <w:pPr>
        <w:pStyle w:val="3"/>
        <w:numPr>
          <w:ilvl w:val="-1"/>
          <w:numId w:val="0"/>
        </w:numPr>
        <w:spacing w:before="0" w:after="0" w:line="360" w:lineRule="auto"/>
        <w:ind w:left="0" w:firstLine="0"/>
        <w:rPr>
          <w:rFonts w:hint="eastAsia" w:ascii="宋体" w:hAnsi="宋体" w:eastAsia="宋体" w:cs="宋体"/>
          <w:color w:val="auto"/>
          <w:sz w:val="28"/>
          <w:szCs w:val="28"/>
        </w:rPr>
      </w:pPr>
      <w:bookmarkStart w:id="181" w:name="_Toc15439"/>
      <w:bookmarkStart w:id="182" w:name="_Toc19905"/>
      <w:bookmarkStart w:id="183" w:name="_Toc10303"/>
      <w:r>
        <w:rPr>
          <w:rFonts w:hint="eastAsia" w:ascii="宋体" w:hAnsi="宋体" w:cs="宋体"/>
          <w:color w:val="auto"/>
          <w:sz w:val="28"/>
          <w:szCs w:val="28"/>
          <w:lang w:val="en-US" w:eastAsia="zh-CN"/>
        </w:rPr>
        <w:t>4.9</w:t>
      </w:r>
      <w:r>
        <w:rPr>
          <w:rFonts w:hint="eastAsia" w:ascii="宋体" w:hAnsi="宋体" w:eastAsia="宋体" w:cs="宋体"/>
          <w:color w:val="auto"/>
          <w:sz w:val="28"/>
          <w:szCs w:val="28"/>
        </w:rPr>
        <w:t>设备管理</w:t>
      </w:r>
      <w:bookmarkEnd w:id="181"/>
      <w:bookmarkEnd w:id="182"/>
      <w:bookmarkEnd w:id="183"/>
    </w:p>
    <w:p w14:paraId="13EE0850">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w:t>
      </w:r>
      <w:r>
        <w:rPr>
          <w:rFonts w:hint="eastAsia" w:ascii="宋体" w:hAnsi="宋体"/>
          <w:b/>
          <w:bCs/>
          <w:color w:val="auto"/>
          <w:sz w:val="21"/>
          <w:szCs w:val="22"/>
          <w:lang w:val="en-US" w:eastAsia="zh-CN"/>
        </w:rPr>
        <w:t>9</w:t>
      </w:r>
      <w:r>
        <w:rPr>
          <w:rFonts w:hint="eastAsia" w:ascii="宋体" w:hAnsi="宋体"/>
          <w:b/>
          <w:bCs/>
          <w:color w:val="auto"/>
          <w:sz w:val="21"/>
          <w:szCs w:val="22"/>
          <w:lang w:eastAsia="zh-CN"/>
        </w:rPr>
        <w:t>.1 资产安装验收</w:t>
      </w:r>
    </w:p>
    <w:p w14:paraId="76195E36">
      <w:pPr>
        <w:spacing w:line="360" w:lineRule="auto"/>
        <w:ind w:firstLine="420" w:firstLineChars="200"/>
        <w:rPr>
          <w:rFonts w:hint="eastAsia" w:ascii="宋体" w:hAnsi="宋体" w:eastAsia="宋体"/>
          <w:color w:val="auto"/>
        </w:rPr>
      </w:pPr>
      <w:r>
        <w:rPr>
          <w:rFonts w:hint="eastAsia" w:ascii="宋体" w:hAnsi="宋体" w:eastAsia="宋体"/>
          <w:color w:val="auto"/>
        </w:rPr>
        <w:t>支持资产安装单据新建及审批、查询，资产安装单推送生成资产验收单及单据打印功能，支持从合同明细、采购订单明细导入固定资产安装数据功能。</w:t>
      </w:r>
    </w:p>
    <w:p w14:paraId="79C767BC">
      <w:pPr>
        <w:spacing w:line="360" w:lineRule="auto"/>
        <w:ind w:firstLine="420" w:firstLineChars="200"/>
        <w:rPr>
          <w:rFonts w:hint="eastAsia" w:ascii="宋体" w:hAnsi="宋体" w:eastAsia="宋体"/>
          <w:color w:val="auto"/>
        </w:rPr>
      </w:pPr>
      <w:r>
        <w:rPr>
          <w:rFonts w:hint="eastAsia" w:ascii="宋体" w:hAnsi="宋体" w:eastAsia="宋体"/>
          <w:color w:val="auto"/>
        </w:rPr>
        <w:t>支持资产验收单据新建及审批、查询，支持从合同明细、采购订单明细导入固定资产验收数据功能。</w:t>
      </w:r>
    </w:p>
    <w:p w14:paraId="5349F0CF">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w:t>
      </w:r>
      <w:r>
        <w:rPr>
          <w:rFonts w:hint="eastAsia" w:ascii="宋体" w:hAnsi="宋体"/>
          <w:b/>
          <w:bCs/>
          <w:color w:val="auto"/>
          <w:sz w:val="21"/>
          <w:szCs w:val="22"/>
          <w:lang w:val="en-US" w:eastAsia="zh-CN"/>
        </w:rPr>
        <w:t>9</w:t>
      </w:r>
      <w:r>
        <w:rPr>
          <w:rFonts w:hint="eastAsia" w:ascii="宋体" w:hAnsi="宋体"/>
          <w:b/>
          <w:bCs/>
          <w:color w:val="auto"/>
          <w:sz w:val="21"/>
          <w:szCs w:val="22"/>
          <w:lang w:eastAsia="zh-CN"/>
        </w:rPr>
        <w:t>.2 设备报修</w:t>
      </w:r>
    </w:p>
    <w:p w14:paraId="3ED4F720">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网上报修（电脑和移动终端）：科室通过系统开放的端口进入报修界面填写报修信息，系统自动生成维修单号，并按照预设定的规则把维修信息短信通知相关工程师，并在相关工程师的系统界面生成提醒信息。</w:t>
      </w:r>
    </w:p>
    <w:p w14:paraId="62FF4E9F">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支持文字报修、照片报修、视频报修；</w:t>
      </w:r>
    </w:p>
    <w:p w14:paraId="619E4210">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报修信息按设置条件自动发至对应工程师手机或PDA等移动终端，并支持移动终端响应回复。</w:t>
      </w:r>
    </w:p>
    <w:p w14:paraId="7973641D">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w:t>
      </w:r>
      <w:r>
        <w:rPr>
          <w:rFonts w:hint="eastAsia" w:ascii="宋体" w:hAnsi="宋体"/>
          <w:b/>
          <w:bCs/>
          <w:color w:val="auto"/>
          <w:sz w:val="21"/>
          <w:szCs w:val="22"/>
          <w:lang w:val="en-US" w:eastAsia="zh-CN"/>
        </w:rPr>
        <w:t>9</w:t>
      </w:r>
      <w:r>
        <w:rPr>
          <w:rFonts w:hint="eastAsia" w:ascii="宋体" w:hAnsi="宋体"/>
          <w:b/>
          <w:bCs/>
          <w:color w:val="auto"/>
          <w:sz w:val="21"/>
          <w:szCs w:val="22"/>
          <w:lang w:eastAsia="zh-CN"/>
        </w:rPr>
        <w:t>.3 设备维修</w:t>
      </w:r>
    </w:p>
    <w:p w14:paraId="2723A854">
      <w:pPr>
        <w:spacing w:line="360" w:lineRule="auto"/>
        <w:ind w:firstLine="424" w:firstLineChars="202"/>
        <w:rPr>
          <w:rFonts w:hint="eastAsia" w:ascii="宋体" w:hAnsi="宋体" w:eastAsia="宋体"/>
          <w:color w:val="auto"/>
        </w:rPr>
      </w:pPr>
      <w:r>
        <w:rPr>
          <w:rFonts w:ascii="宋体" w:hAnsi="宋体" w:eastAsia="宋体"/>
          <w:color w:val="auto"/>
        </w:rPr>
        <w:t>1）维修过程记录：设备基础信息及维修历史数据可通过</w:t>
      </w:r>
      <w:r>
        <w:rPr>
          <w:rFonts w:hint="eastAsia" w:ascii="宋体" w:hAnsi="宋体" w:eastAsia="宋体"/>
          <w:color w:val="auto"/>
        </w:rPr>
        <w:t>移动端</w:t>
      </w:r>
      <w:r>
        <w:rPr>
          <w:rFonts w:ascii="宋体" w:hAnsi="宋体" w:eastAsia="宋体"/>
          <w:color w:val="auto"/>
        </w:rPr>
        <w:t>实时查询/录入</w:t>
      </w:r>
      <w:r>
        <w:rPr>
          <w:rFonts w:hint="eastAsia" w:ascii="宋体" w:hAnsi="宋体" w:eastAsia="宋体"/>
          <w:color w:val="auto"/>
        </w:rPr>
        <w:t>；</w:t>
      </w:r>
    </w:p>
    <w:p w14:paraId="7A3836BE">
      <w:pPr>
        <w:spacing w:line="360" w:lineRule="auto"/>
        <w:ind w:firstLine="424" w:firstLineChars="202"/>
        <w:rPr>
          <w:rFonts w:hint="eastAsia" w:ascii="宋体" w:hAnsi="宋体" w:eastAsia="宋体"/>
          <w:color w:val="auto"/>
        </w:rPr>
      </w:pPr>
      <w:r>
        <w:rPr>
          <w:rFonts w:ascii="宋体" w:hAnsi="宋体" w:eastAsia="宋体"/>
          <w:color w:val="auto"/>
        </w:rPr>
        <w:t>2）维修过程监控：维修状态实时查询、跟进、提醒。建立设备维修二维码标签、支持批量生成和打印，自动关联固定资产信息、厂家信息、维修历史记录、使用率信息、保养记录、维修二级库信息。维修完成生成维修单，相关干系人确认。</w:t>
      </w:r>
    </w:p>
    <w:p w14:paraId="2CE72899">
      <w:pPr>
        <w:spacing w:line="360" w:lineRule="auto"/>
        <w:ind w:firstLine="424" w:firstLineChars="202"/>
        <w:rPr>
          <w:rFonts w:hint="eastAsia" w:ascii="宋体" w:hAnsi="宋体" w:eastAsia="宋体"/>
          <w:color w:val="auto"/>
        </w:rPr>
      </w:pPr>
      <w:r>
        <w:rPr>
          <w:rFonts w:hint="eastAsia" w:ascii="宋体" w:hAnsi="宋体" w:eastAsia="宋体"/>
          <w:color w:val="auto"/>
        </w:rPr>
        <w:t>3</w:t>
      </w:r>
      <w:r>
        <w:rPr>
          <w:rFonts w:ascii="宋体" w:hAnsi="宋体" w:eastAsia="宋体"/>
          <w:color w:val="auto"/>
        </w:rPr>
        <w:t>）维修结果评价：记录使用科室对维修结果的评价</w:t>
      </w:r>
    </w:p>
    <w:p w14:paraId="349CBCF9">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w:t>
      </w:r>
      <w:r>
        <w:rPr>
          <w:rFonts w:hint="eastAsia" w:ascii="宋体" w:hAnsi="宋体"/>
          <w:b/>
          <w:bCs/>
          <w:color w:val="auto"/>
          <w:sz w:val="21"/>
          <w:szCs w:val="22"/>
          <w:lang w:val="en-US" w:eastAsia="zh-CN"/>
        </w:rPr>
        <w:t>9</w:t>
      </w:r>
      <w:r>
        <w:rPr>
          <w:rFonts w:hint="eastAsia" w:ascii="宋体" w:hAnsi="宋体"/>
          <w:b/>
          <w:bCs/>
          <w:color w:val="auto"/>
          <w:sz w:val="21"/>
          <w:szCs w:val="22"/>
          <w:lang w:eastAsia="zh-CN"/>
        </w:rPr>
        <w:t>.4 国家法定检测（设备检测计量）</w:t>
      </w:r>
    </w:p>
    <w:p w14:paraId="1696C7DE">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1）计量强检：在资产清单中有强检设备标记字段，能够自动提醒计量时间。</w:t>
      </w:r>
    </w:p>
    <w:p w14:paraId="68A4A4EC">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2）特种承压设备年检：在资产清单中有特种承压设备标记字段，能够自动提醒年检时间。</w:t>
      </w:r>
    </w:p>
    <w:p w14:paraId="7512F193">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3）放射设备及其辐射安全配件年检：在资产清单中有放射标记字段，能够自动提醒年检时间。</w:t>
      </w:r>
    </w:p>
    <w:p w14:paraId="3EA15256">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4.9.5设备保养</w:t>
      </w:r>
    </w:p>
    <w:p w14:paraId="3837B50E">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1）提供设备保养计划；</w:t>
      </w:r>
    </w:p>
    <w:p w14:paraId="2B011CBA">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2）提供设备保养记录；</w:t>
      </w:r>
    </w:p>
    <w:p w14:paraId="2B9B0436">
      <w:pPr>
        <w:pStyle w:val="3"/>
        <w:numPr>
          <w:ilvl w:val="-1"/>
          <w:numId w:val="0"/>
        </w:numPr>
        <w:spacing w:before="0" w:after="0" w:line="360" w:lineRule="auto"/>
        <w:ind w:left="0" w:firstLine="0"/>
        <w:rPr>
          <w:rFonts w:hint="eastAsia" w:ascii="宋体" w:hAnsi="宋体" w:eastAsia="宋体" w:cs="宋体"/>
          <w:color w:val="auto"/>
          <w:sz w:val="28"/>
          <w:szCs w:val="28"/>
        </w:rPr>
      </w:pPr>
      <w:bookmarkStart w:id="184" w:name="_Toc5513"/>
      <w:bookmarkStart w:id="185" w:name="_Toc12288"/>
      <w:bookmarkStart w:id="186" w:name="_Toc31743"/>
      <w:r>
        <w:rPr>
          <w:rFonts w:hint="eastAsia" w:ascii="宋体" w:hAnsi="宋体" w:cs="宋体"/>
          <w:color w:val="auto"/>
          <w:sz w:val="28"/>
          <w:szCs w:val="28"/>
          <w:lang w:val="en-US" w:eastAsia="zh-CN"/>
        </w:rPr>
        <w:t xml:space="preserve">4.10 </w:t>
      </w:r>
      <w:r>
        <w:rPr>
          <w:rFonts w:hint="eastAsia" w:ascii="宋体" w:hAnsi="宋体" w:eastAsia="宋体" w:cs="宋体"/>
          <w:color w:val="auto"/>
          <w:sz w:val="28"/>
          <w:szCs w:val="28"/>
        </w:rPr>
        <w:t>人力资源管理</w:t>
      </w:r>
      <w:bookmarkEnd w:id="184"/>
      <w:bookmarkEnd w:id="185"/>
      <w:bookmarkEnd w:id="186"/>
    </w:p>
    <w:p w14:paraId="59869506">
      <w:pPr>
        <w:spacing w:before="0" w:after="0" w:line="240" w:lineRule="auto"/>
        <w:outlineLvl w:val="3"/>
        <w:rPr>
          <w:rFonts w:hint="eastAsia" w:ascii="宋体" w:hAnsi="宋体" w:eastAsia="宋体"/>
          <w:b/>
          <w:bCs/>
          <w:color w:val="auto"/>
          <w:sz w:val="21"/>
          <w:szCs w:val="22"/>
        </w:rPr>
      </w:pPr>
      <w:bookmarkStart w:id="187" w:name="OLE_LINK2"/>
      <w:r>
        <w:rPr>
          <w:rFonts w:hint="eastAsia" w:ascii="宋体" w:hAnsi="宋体"/>
          <w:b/>
          <w:bCs/>
          <w:color w:val="auto"/>
          <w:sz w:val="21"/>
          <w:szCs w:val="22"/>
          <w:lang w:eastAsia="zh-CN"/>
        </w:rPr>
        <w:t>4.1</w:t>
      </w:r>
      <w:r>
        <w:rPr>
          <w:rFonts w:hint="eastAsia" w:ascii="宋体" w:hAnsi="宋体"/>
          <w:b/>
          <w:bCs/>
          <w:color w:val="auto"/>
          <w:sz w:val="21"/>
          <w:szCs w:val="22"/>
          <w:lang w:val="en-US" w:eastAsia="zh-CN"/>
        </w:rPr>
        <w:t>0</w:t>
      </w:r>
      <w:bookmarkEnd w:id="187"/>
      <w:r>
        <w:rPr>
          <w:rFonts w:hint="eastAsia" w:ascii="宋体" w:hAnsi="宋体" w:eastAsia="宋体"/>
          <w:b/>
          <w:bCs/>
          <w:color w:val="auto"/>
          <w:sz w:val="21"/>
          <w:szCs w:val="22"/>
        </w:rPr>
        <w:t>.1 组织管理</w:t>
      </w:r>
    </w:p>
    <w:p w14:paraId="71234A45">
      <w:pPr>
        <w:spacing w:line="360" w:lineRule="auto"/>
        <w:ind w:firstLine="424" w:firstLineChars="202"/>
        <w:rPr>
          <w:rFonts w:hint="eastAsia" w:ascii="宋体" w:hAnsi="宋体" w:eastAsia="宋体"/>
          <w:color w:val="auto"/>
        </w:rPr>
      </w:pPr>
      <w:r>
        <w:rPr>
          <w:rFonts w:hint="eastAsia" w:ascii="宋体" w:hAnsi="宋体" w:eastAsia="宋体"/>
          <w:color w:val="auto"/>
        </w:rPr>
        <w:t>提供对医疗机构的单位、处室（科室）等组织机构的维护。</w:t>
      </w:r>
    </w:p>
    <w:p w14:paraId="3180A997">
      <w:pPr>
        <w:spacing w:line="360" w:lineRule="auto"/>
        <w:ind w:firstLine="424" w:firstLineChars="202"/>
        <w:rPr>
          <w:rFonts w:hint="eastAsia" w:ascii="宋体" w:hAnsi="宋体" w:eastAsia="宋体"/>
          <w:color w:val="auto"/>
        </w:rPr>
      </w:pPr>
      <w:r>
        <w:rPr>
          <w:rFonts w:hint="eastAsia" w:ascii="宋体" w:hAnsi="宋体" w:eastAsia="宋体"/>
          <w:color w:val="auto"/>
        </w:rPr>
        <w:t>支持部门类型、体系负责人、编制人数等基本信息管理，并可根据医院管理需求灵活扩展调整基本信息包含的内容。</w:t>
      </w:r>
    </w:p>
    <w:p w14:paraId="0C5E5AF7">
      <w:pPr>
        <w:spacing w:line="360" w:lineRule="auto"/>
        <w:ind w:firstLine="424" w:firstLineChars="202"/>
        <w:rPr>
          <w:rFonts w:hint="eastAsia" w:ascii="宋体" w:hAnsi="宋体" w:eastAsia="宋体"/>
          <w:color w:val="auto"/>
        </w:rPr>
      </w:pPr>
      <w:r>
        <w:rPr>
          <w:rFonts w:hint="eastAsia" w:ascii="宋体" w:hAnsi="宋体" w:eastAsia="宋体"/>
          <w:color w:val="auto"/>
        </w:rPr>
        <w:t>支持根据部门类别、性质等属性定义部门编码规则，自动生成部门编码。</w:t>
      </w:r>
    </w:p>
    <w:p w14:paraId="592C1C87">
      <w:pPr>
        <w:spacing w:line="360" w:lineRule="auto"/>
        <w:ind w:firstLine="424" w:firstLineChars="202"/>
        <w:rPr>
          <w:rFonts w:hint="eastAsia" w:ascii="宋体" w:hAnsi="宋体" w:eastAsia="宋体"/>
          <w:color w:val="auto"/>
        </w:rPr>
      </w:pPr>
      <w:r>
        <w:rPr>
          <w:rFonts w:hint="eastAsia" w:ascii="宋体" w:hAnsi="宋体" w:eastAsia="宋体"/>
          <w:color w:val="auto"/>
        </w:rPr>
        <w:t>自动记录历史组织结构变动信息，并能提供历史组织机构、各单位（部门）信息的追溯。</w:t>
      </w:r>
    </w:p>
    <w:p w14:paraId="6920F22A">
      <w:pPr>
        <w:spacing w:line="360" w:lineRule="auto"/>
        <w:ind w:firstLine="424" w:firstLineChars="202"/>
        <w:rPr>
          <w:rFonts w:hint="eastAsia" w:ascii="宋体" w:hAnsi="宋体" w:eastAsia="宋体"/>
          <w:color w:val="auto"/>
        </w:rPr>
      </w:pPr>
      <w:r>
        <w:rPr>
          <w:rFonts w:hint="eastAsia" w:ascii="宋体" w:hAnsi="宋体" w:eastAsia="宋体"/>
          <w:color w:val="auto"/>
        </w:rPr>
        <w:t>对单位整体机构及各部门各项指标能够进行多维度的查询和统计分析，包括部门职能查询统计（职能部门、医技部门、临床科室、医辅科室等），可从不同侧面对各部门信息进行分析（岗位类别、不同学历、不同职称等维度人员分布情况），以图表的方式显示和输出。</w:t>
      </w:r>
    </w:p>
    <w:p w14:paraId="1786017B">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4.10.2 岗位职务管理</w:t>
      </w:r>
    </w:p>
    <w:p w14:paraId="335BD1A4">
      <w:pPr>
        <w:spacing w:line="360" w:lineRule="auto"/>
        <w:ind w:firstLine="420" w:firstLineChars="200"/>
        <w:rPr>
          <w:rFonts w:hint="eastAsia" w:ascii="宋体" w:hAnsi="宋体" w:eastAsia="宋体"/>
          <w:color w:val="auto"/>
        </w:rPr>
      </w:pPr>
      <w:r>
        <w:rPr>
          <w:rFonts w:hint="eastAsia" w:ascii="宋体" w:hAnsi="宋体" w:eastAsia="宋体"/>
          <w:color w:val="auto"/>
        </w:rPr>
        <w:t>支持各层级组织架构下的人员岗位设置和编制核定（可根据业务系统数据灵活设置相关指标），管理组织机构中的岗位及编制信息等。</w:t>
      </w:r>
    </w:p>
    <w:p w14:paraId="348C8E05">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支持根据组织架构下的部门岗位工作要求和上岗条件，生成岗位说明书。根据国家规定的事业单位人员的岗位类别、岗位职级进行人员岗位管理，与职称、工资数据等同步联动；</w:t>
      </w:r>
    </w:p>
    <w:p w14:paraId="18AF5A2E">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支持图形化展示职务体系图及人员上下级关系；</w:t>
      </w:r>
    </w:p>
    <w:p w14:paraId="31B0B161">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岗位管理结合科室人员编制管理，根据人员编制科室数据生成全院各大科（专科）编制人员明细表，实现人员编制的增、调、减管理流程同步，带动系统人员数据的变动；</w:t>
      </w:r>
    </w:p>
    <w:p w14:paraId="751EB8CB">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支持岗位的设置和岗位日常管理，包括：基本信息、工作职责、工作联系对象、任职资格、绩效标准、能力素质、汇报关系信息等，为职工上岗提供基本岗位信息；</w:t>
      </w:r>
    </w:p>
    <w:p w14:paraId="59598C60">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提供岗位体系、岗位说明书、岗位等级等信息的查询和分析。</w:t>
      </w:r>
    </w:p>
    <w:p w14:paraId="787551B1">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4.10.3 编制管理</w:t>
      </w:r>
    </w:p>
    <w:p w14:paraId="126BD4D3">
      <w:pPr>
        <w:spacing w:line="360" w:lineRule="auto"/>
        <w:ind w:firstLine="420" w:firstLineChars="200"/>
        <w:rPr>
          <w:rFonts w:hint="eastAsia" w:ascii="宋体" w:hAnsi="宋体" w:eastAsia="宋体"/>
          <w:color w:val="auto"/>
        </w:rPr>
      </w:pPr>
      <w:r>
        <w:rPr>
          <w:rFonts w:hint="eastAsia" w:ascii="宋体" w:hAnsi="宋体" w:eastAsia="宋体"/>
          <w:color w:val="auto"/>
        </w:rPr>
        <w:t>单位的编制计划制定周期为年度，在一个周期内编制计划会进行调整，调整的目的一般是使编制数更加合理、精确；编制计划直接影响到实际职工数量的控制，通过系统可以查出超编、缺编情况，同时系统接受科室的增编申请、人事审核，结合上述数据完成增员、内部流动、减员的人员配置业务。</w:t>
      </w:r>
    </w:p>
    <w:p w14:paraId="6234B75D">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提供编制计划的设立（发起科室除人员所在科室，也可为人事处等职能部门）、职能部门审核、医院通过等调整流程以及对于各次调整结果的查询等功能，调整编制时要提供历年的增减数据作为提醒；</w:t>
      </w:r>
    </w:p>
    <w:p w14:paraId="5EF93CEB">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包括管理人员、专业技术人员和工勤技能人员，为医院的动态编制管理提供数据支持；</w:t>
      </w:r>
    </w:p>
    <w:p w14:paraId="160D9789">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支持按照科室或者大科或者职能部门（例如：护理部编制全院护士人数）的不同岗位设置编制人数和统计缺编、超编统计；</w:t>
      </w:r>
    </w:p>
    <w:p w14:paraId="31FBD43F">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随时可按固定格式形成最新数据的全院编制人员和各专科缺编/超编情况一览表，并支持编辑打印。</w:t>
      </w:r>
    </w:p>
    <w:p w14:paraId="3E8F3CF7">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4.10.4</w:t>
      </w:r>
      <w:r>
        <w:rPr>
          <w:rFonts w:hint="eastAsia" w:ascii="宋体" w:hAnsi="宋体"/>
          <w:b/>
          <w:bCs/>
          <w:color w:val="auto"/>
          <w:sz w:val="21"/>
          <w:szCs w:val="22"/>
          <w:lang w:eastAsia="zh-CN"/>
        </w:rPr>
        <w:tab/>
      </w:r>
      <w:r>
        <w:rPr>
          <w:rFonts w:hint="eastAsia" w:ascii="宋体" w:hAnsi="宋体"/>
          <w:b/>
          <w:bCs/>
          <w:color w:val="auto"/>
          <w:sz w:val="21"/>
          <w:szCs w:val="22"/>
          <w:lang w:eastAsia="zh-CN"/>
        </w:rPr>
        <w:t>招聘管理</w:t>
      </w:r>
    </w:p>
    <w:p w14:paraId="5A68B70B">
      <w:pPr>
        <w:spacing w:line="360" w:lineRule="auto"/>
        <w:ind w:firstLine="424" w:firstLineChars="202"/>
        <w:rPr>
          <w:rFonts w:hint="eastAsia" w:ascii="宋体" w:hAnsi="宋体" w:eastAsia="宋体"/>
          <w:color w:val="auto"/>
        </w:rPr>
      </w:pPr>
      <w:r>
        <w:rPr>
          <w:rFonts w:ascii="宋体" w:hAnsi="宋体" w:eastAsia="宋体"/>
          <w:color w:val="auto"/>
        </w:rPr>
        <w:t>(1)</w:t>
      </w:r>
      <w:r>
        <w:rPr>
          <w:rFonts w:ascii="宋体" w:hAnsi="宋体" w:eastAsia="宋体"/>
          <w:color w:val="auto"/>
        </w:rPr>
        <w:tab/>
      </w:r>
      <w:r>
        <w:rPr>
          <w:rFonts w:ascii="宋体" w:hAnsi="宋体" w:eastAsia="宋体"/>
          <w:color w:val="auto"/>
        </w:rPr>
        <w:t>招聘门户服务</w:t>
      </w:r>
    </w:p>
    <w:p w14:paraId="21C869BD">
      <w:pPr>
        <w:spacing w:line="360" w:lineRule="auto"/>
        <w:ind w:firstLine="424" w:firstLineChars="202"/>
        <w:rPr>
          <w:rFonts w:hint="eastAsia" w:ascii="宋体" w:hAnsi="宋体" w:eastAsia="宋体"/>
          <w:color w:val="auto"/>
        </w:rPr>
      </w:pPr>
      <w:r>
        <w:rPr>
          <w:rFonts w:hint="eastAsia" w:ascii="宋体" w:hAnsi="宋体" w:eastAsia="宋体"/>
          <w:color w:val="auto"/>
        </w:rPr>
        <w:t>提供统一门户入口，并可嵌入医院官网，供医院社会招聘、校园招聘、高层次人才招聘等不同类求职者浏览职位及投递简历。</w:t>
      </w:r>
    </w:p>
    <w:p w14:paraId="0264800D">
      <w:pPr>
        <w:spacing w:line="360" w:lineRule="auto"/>
        <w:ind w:firstLine="424" w:firstLineChars="202"/>
        <w:rPr>
          <w:rFonts w:hint="eastAsia" w:ascii="宋体" w:hAnsi="宋体" w:eastAsia="宋体"/>
          <w:color w:val="auto"/>
        </w:rPr>
      </w:pPr>
      <w:r>
        <w:rPr>
          <w:rFonts w:hint="eastAsia" w:ascii="宋体" w:hAnsi="宋体" w:eastAsia="宋体"/>
          <w:color w:val="auto"/>
        </w:rPr>
        <w:t>支持应聘者查看医院招聘公告。</w:t>
      </w:r>
    </w:p>
    <w:p w14:paraId="242D7C41">
      <w:pPr>
        <w:spacing w:line="360" w:lineRule="auto"/>
        <w:ind w:firstLine="424" w:firstLineChars="202"/>
        <w:rPr>
          <w:rFonts w:hint="eastAsia" w:ascii="宋体" w:hAnsi="宋体" w:eastAsia="宋体"/>
          <w:color w:val="auto"/>
        </w:rPr>
      </w:pPr>
      <w:r>
        <w:rPr>
          <w:rFonts w:hint="eastAsia" w:ascii="宋体" w:hAnsi="宋体" w:eastAsia="宋体"/>
          <w:color w:val="auto"/>
        </w:rPr>
        <w:t>求职者根据简历模板维护个人简历，支持实时查阅本人投递记录和应聘进程。</w:t>
      </w:r>
    </w:p>
    <w:p w14:paraId="28E7E1CF">
      <w:pPr>
        <w:spacing w:line="360" w:lineRule="auto"/>
        <w:ind w:firstLine="424" w:firstLineChars="202"/>
        <w:rPr>
          <w:rFonts w:hint="eastAsia" w:ascii="宋体" w:hAnsi="宋体" w:eastAsia="宋体"/>
          <w:color w:val="auto"/>
        </w:rPr>
      </w:pPr>
      <w:r>
        <w:rPr>
          <w:rFonts w:hint="eastAsia" w:ascii="宋体" w:hAnsi="宋体" w:eastAsia="宋体"/>
          <w:color w:val="auto"/>
        </w:rPr>
        <w:t>提供互动留言板，实现求职者与医院招聘人员的留言互动。</w:t>
      </w:r>
    </w:p>
    <w:p w14:paraId="596FDF05">
      <w:pPr>
        <w:spacing w:line="360" w:lineRule="auto"/>
        <w:ind w:firstLine="424" w:firstLineChars="202"/>
        <w:rPr>
          <w:rFonts w:hint="eastAsia" w:ascii="宋体" w:hAnsi="宋体" w:eastAsia="宋体"/>
          <w:color w:val="auto"/>
        </w:rPr>
      </w:pPr>
      <w:r>
        <w:rPr>
          <w:rFonts w:hint="eastAsia" w:ascii="宋体" w:hAnsi="宋体" w:eastAsia="宋体"/>
          <w:color w:val="auto"/>
        </w:rPr>
        <w:t>支持准考证查询打印、笔试及面试成绩查询。</w:t>
      </w:r>
    </w:p>
    <w:p w14:paraId="105CBDCC">
      <w:pPr>
        <w:spacing w:line="360" w:lineRule="auto"/>
        <w:ind w:firstLine="424" w:firstLineChars="202"/>
        <w:rPr>
          <w:rFonts w:hint="eastAsia" w:ascii="宋体" w:hAnsi="宋体" w:eastAsia="宋体"/>
          <w:color w:val="auto"/>
        </w:rPr>
      </w:pPr>
      <w:r>
        <w:rPr>
          <w:rFonts w:ascii="宋体" w:hAnsi="宋体" w:eastAsia="宋体"/>
          <w:color w:val="auto"/>
        </w:rPr>
        <w:t>(2)</w:t>
      </w:r>
      <w:r>
        <w:rPr>
          <w:rFonts w:ascii="宋体" w:hAnsi="宋体" w:eastAsia="宋体"/>
          <w:color w:val="auto"/>
        </w:rPr>
        <w:tab/>
      </w:r>
      <w:r>
        <w:rPr>
          <w:rFonts w:ascii="宋体" w:hAnsi="宋体" w:eastAsia="宋体"/>
          <w:color w:val="auto"/>
        </w:rPr>
        <w:t>招聘职位管理</w:t>
      </w:r>
    </w:p>
    <w:p w14:paraId="660701D6">
      <w:pPr>
        <w:spacing w:line="360" w:lineRule="auto"/>
        <w:ind w:firstLine="424" w:firstLineChars="202"/>
        <w:rPr>
          <w:rFonts w:hint="eastAsia" w:ascii="宋体" w:hAnsi="宋体" w:eastAsia="宋体"/>
          <w:color w:val="auto"/>
        </w:rPr>
      </w:pPr>
      <w:r>
        <w:rPr>
          <w:rFonts w:hint="eastAsia" w:ascii="宋体" w:hAnsi="宋体" w:eastAsia="宋体"/>
          <w:color w:val="auto"/>
        </w:rPr>
        <w:t>提供维护职位管理，包括自定义职位投递的简历模板、投递条件过滤器，实现简历投递时的自动过滤。</w:t>
      </w:r>
    </w:p>
    <w:p w14:paraId="76BE5BCE">
      <w:pPr>
        <w:spacing w:line="360" w:lineRule="auto"/>
        <w:ind w:firstLine="424" w:firstLineChars="202"/>
        <w:rPr>
          <w:rFonts w:hint="eastAsia" w:ascii="宋体" w:hAnsi="宋体" w:eastAsia="宋体"/>
          <w:color w:val="auto"/>
        </w:rPr>
      </w:pPr>
      <w:r>
        <w:rPr>
          <w:rFonts w:hint="eastAsia" w:ascii="宋体" w:hAnsi="宋体" w:eastAsia="宋体"/>
          <w:color w:val="auto"/>
        </w:rPr>
        <w:t>提供职位信息批量导入，或通过线下人事系统定义招聘计划批量发布职位。</w:t>
      </w:r>
    </w:p>
    <w:p w14:paraId="40C0B0D4">
      <w:pPr>
        <w:spacing w:line="360" w:lineRule="auto"/>
        <w:ind w:firstLine="424" w:firstLineChars="202"/>
        <w:rPr>
          <w:rFonts w:hint="eastAsia" w:ascii="宋体" w:hAnsi="宋体" w:eastAsia="宋体"/>
          <w:color w:val="auto"/>
        </w:rPr>
      </w:pPr>
      <w:r>
        <w:rPr>
          <w:rFonts w:hint="eastAsia" w:ascii="宋体" w:hAnsi="宋体" w:eastAsia="宋体"/>
          <w:color w:val="auto"/>
        </w:rPr>
        <w:t>支持设置职位特点标签，供应聘者浏览职位时标识职位的特点。</w:t>
      </w:r>
    </w:p>
    <w:p w14:paraId="48FAC5C5">
      <w:pPr>
        <w:spacing w:line="360" w:lineRule="auto"/>
        <w:ind w:firstLine="424" w:firstLineChars="202"/>
        <w:rPr>
          <w:rFonts w:hint="eastAsia" w:ascii="宋体" w:hAnsi="宋体" w:eastAsia="宋体"/>
          <w:color w:val="auto"/>
        </w:rPr>
      </w:pPr>
      <w:r>
        <w:rPr>
          <w:rFonts w:ascii="宋体" w:hAnsi="宋体" w:eastAsia="宋体"/>
          <w:color w:val="auto"/>
        </w:rPr>
        <w:t>(3)</w:t>
      </w:r>
      <w:r>
        <w:rPr>
          <w:rFonts w:ascii="宋体" w:hAnsi="宋体" w:eastAsia="宋体"/>
          <w:color w:val="auto"/>
        </w:rPr>
        <w:tab/>
      </w:r>
      <w:r>
        <w:rPr>
          <w:rFonts w:ascii="宋体" w:hAnsi="宋体" w:eastAsia="宋体"/>
          <w:color w:val="auto"/>
        </w:rPr>
        <w:t>招聘活动管理</w:t>
      </w:r>
    </w:p>
    <w:p w14:paraId="1CB99CAA">
      <w:pPr>
        <w:spacing w:line="360" w:lineRule="auto"/>
        <w:ind w:firstLine="424" w:firstLineChars="202"/>
        <w:rPr>
          <w:rFonts w:hint="eastAsia" w:ascii="宋体" w:hAnsi="宋体" w:eastAsia="宋体"/>
          <w:color w:val="auto"/>
        </w:rPr>
      </w:pPr>
      <w:r>
        <w:rPr>
          <w:rFonts w:hint="eastAsia" w:ascii="宋体" w:hAnsi="宋体" w:eastAsia="宋体"/>
          <w:color w:val="auto"/>
        </w:rPr>
        <w:t>支持招聘活动的管理，满足医院不同时期分批次招聘的应用，包括招聘活动的定义、发布以及活动包含的职位明细。</w:t>
      </w:r>
    </w:p>
    <w:p w14:paraId="1F25B4D5">
      <w:pPr>
        <w:spacing w:line="360" w:lineRule="auto"/>
        <w:ind w:firstLine="424" w:firstLineChars="202"/>
        <w:rPr>
          <w:rFonts w:hint="eastAsia" w:ascii="宋体" w:hAnsi="宋体" w:eastAsia="宋体"/>
          <w:color w:val="auto"/>
        </w:rPr>
      </w:pPr>
      <w:r>
        <w:rPr>
          <w:rFonts w:hint="eastAsia" w:ascii="宋体" w:hAnsi="宋体" w:eastAsia="宋体"/>
          <w:color w:val="auto"/>
        </w:rPr>
        <w:t>支持招聘活动投递规则的设置，包括否允许跨活动投递同一个职位、是否允许投递同一个活动中的多个职位；</w:t>
      </w:r>
    </w:p>
    <w:p w14:paraId="300D3D7F">
      <w:pPr>
        <w:spacing w:line="360" w:lineRule="auto"/>
        <w:ind w:firstLine="424" w:firstLineChars="202"/>
        <w:rPr>
          <w:rFonts w:hint="eastAsia" w:ascii="宋体" w:hAnsi="宋体" w:eastAsia="宋体"/>
          <w:color w:val="auto"/>
        </w:rPr>
      </w:pPr>
      <w:r>
        <w:rPr>
          <w:rFonts w:hint="eastAsia" w:ascii="宋体" w:hAnsi="宋体" w:eastAsia="宋体"/>
          <w:color w:val="auto"/>
        </w:rPr>
        <w:t>支持不同职位灵活设置招聘流程，比如自由定义多轮次面试或笔试。</w:t>
      </w:r>
    </w:p>
    <w:p w14:paraId="5D83D131">
      <w:pPr>
        <w:spacing w:line="360" w:lineRule="auto"/>
        <w:ind w:firstLine="424" w:firstLineChars="202"/>
        <w:rPr>
          <w:rFonts w:hint="eastAsia" w:ascii="宋体" w:hAnsi="宋体" w:eastAsia="宋体"/>
          <w:color w:val="auto"/>
        </w:rPr>
      </w:pPr>
      <w:r>
        <w:rPr>
          <w:rFonts w:ascii="宋体" w:hAnsi="宋体" w:eastAsia="宋体"/>
          <w:color w:val="auto"/>
        </w:rPr>
        <w:t>(4)</w:t>
      </w:r>
      <w:r>
        <w:rPr>
          <w:rFonts w:ascii="宋体" w:hAnsi="宋体" w:eastAsia="宋体"/>
          <w:color w:val="auto"/>
        </w:rPr>
        <w:tab/>
      </w:r>
      <w:r>
        <w:rPr>
          <w:rFonts w:ascii="宋体" w:hAnsi="宋体" w:eastAsia="宋体"/>
          <w:color w:val="auto"/>
        </w:rPr>
        <w:t>简历中心与人才库管理</w:t>
      </w:r>
    </w:p>
    <w:p w14:paraId="212FE969">
      <w:pPr>
        <w:spacing w:line="360" w:lineRule="auto"/>
        <w:ind w:firstLine="424" w:firstLineChars="202"/>
        <w:rPr>
          <w:rFonts w:hint="eastAsia" w:ascii="宋体" w:hAnsi="宋体" w:eastAsia="宋体"/>
          <w:color w:val="auto"/>
        </w:rPr>
      </w:pPr>
      <w:r>
        <w:rPr>
          <w:rFonts w:hint="eastAsia" w:ascii="宋体" w:hAnsi="宋体" w:eastAsia="宋体"/>
          <w:color w:val="auto"/>
        </w:rPr>
        <w:t>提供各职位应聘人员投递简历从甄选、笔试、面试、录用、报到全过程管理。</w:t>
      </w:r>
    </w:p>
    <w:p w14:paraId="2AA7E7A2">
      <w:pPr>
        <w:spacing w:line="360" w:lineRule="auto"/>
        <w:ind w:firstLine="424" w:firstLineChars="202"/>
        <w:rPr>
          <w:rFonts w:hint="eastAsia" w:ascii="宋体" w:hAnsi="宋体" w:eastAsia="宋体"/>
          <w:color w:val="auto"/>
        </w:rPr>
      </w:pPr>
      <w:r>
        <w:rPr>
          <w:rFonts w:hint="eastAsia" w:ascii="宋体" w:hAnsi="宋体" w:eastAsia="宋体"/>
          <w:color w:val="auto"/>
        </w:rPr>
        <w:t>对简历的所有操作和留言都自动痕迹，并可与求职者留言互动。</w:t>
      </w:r>
    </w:p>
    <w:p w14:paraId="43A9FB73">
      <w:pPr>
        <w:spacing w:line="360" w:lineRule="auto"/>
        <w:ind w:firstLine="424" w:firstLineChars="202"/>
        <w:rPr>
          <w:rFonts w:hint="eastAsia" w:ascii="宋体" w:hAnsi="宋体" w:eastAsia="宋体"/>
          <w:color w:val="auto"/>
        </w:rPr>
      </w:pPr>
      <w:r>
        <w:rPr>
          <w:rFonts w:hint="eastAsia" w:ascii="宋体" w:hAnsi="宋体" w:eastAsia="宋体"/>
          <w:color w:val="auto"/>
        </w:rPr>
        <w:t>根据简历所处的不同阶段，随时发起邮件和短信通知给简历本人。</w:t>
      </w:r>
    </w:p>
    <w:p w14:paraId="153C71C6">
      <w:pPr>
        <w:spacing w:line="360" w:lineRule="auto"/>
        <w:ind w:firstLine="424" w:firstLineChars="202"/>
        <w:rPr>
          <w:rFonts w:hint="eastAsia" w:ascii="宋体" w:hAnsi="宋体" w:eastAsia="宋体"/>
          <w:color w:val="auto"/>
        </w:rPr>
      </w:pPr>
      <w:r>
        <w:rPr>
          <w:rFonts w:hint="eastAsia" w:ascii="宋体" w:hAnsi="宋体" w:eastAsia="宋体"/>
          <w:color w:val="auto"/>
        </w:rPr>
        <w:t>支持手动调整应聘者跳过任意招聘阶段，并可对应聘者简历进行标签标记。</w:t>
      </w:r>
    </w:p>
    <w:p w14:paraId="70CAC484">
      <w:pPr>
        <w:spacing w:line="360" w:lineRule="auto"/>
        <w:ind w:firstLine="424" w:firstLineChars="202"/>
        <w:rPr>
          <w:rFonts w:hint="eastAsia" w:ascii="宋体" w:hAnsi="宋体" w:eastAsia="宋体"/>
          <w:color w:val="auto"/>
        </w:rPr>
      </w:pPr>
      <w:r>
        <w:rPr>
          <w:rFonts w:hint="eastAsia" w:ascii="宋体" w:hAnsi="宋体" w:eastAsia="宋体"/>
          <w:color w:val="auto"/>
        </w:rPr>
        <w:t>支持简历预览、批量下载、打印，简历附件批量下载以及简历转发。</w:t>
      </w:r>
    </w:p>
    <w:p w14:paraId="5D47D489">
      <w:pPr>
        <w:spacing w:line="360" w:lineRule="auto"/>
        <w:ind w:firstLine="424" w:firstLineChars="202"/>
        <w:rPr>
          <w:rFonts w:hint="eastAsia" w:ascii="宋体" w:hAnsi="宋体" w:eastAsia="宋体"/>
          <w:color w:val="auto"/>
        </w:rPr>
      </w:pPr>
      <w:r>
        <w:rPr>
          <w:rFonts w:hint="eastAsia" w:ascii="宋体" w:hAnsi="宋体" w:eastAsia="宋体"/>
          <w:color w:val="auto"/>
        </w:rPr>
        <w:t>支持面试打分及笔试得分的结果导入和汇总。</w:t>
      </w:r>
    </w:p>
    <w:p w14:paraId="34E7CA87">
      <w:pPr>
        <w:spacing w:line="360" w:lineRule="auto"/>
        <w:ind w:firstLine="424" w:firstLineChars="202"/>
        <w:rPr>
          <w:rFonts w:hint="eastAsia" w:ascii="宋体" w:hAnsi="宋体" w:eastAsia="宋体"/>
          <w:color w:val="auto"/>
        </w:rPr>
      </w:pPr>
      <w:r>
        <w:rPr>
          <w:rFonts w:hint="eastAsia" w:ascii="宋体" w:hAnsi="宋体" w:eastAsia="宋体"/>
          <w:color w:val="auto"/>
        </w:rPr>
        <w:t>待录用人员简历支持与线下人事系统同步，快速办理入职。。</w:t>
      </w:r>
    </w:p>
    <w:p w14:paraId="02E57318">
      <w:pPr>
        <w:spacing w:line="360" w:lineRule="auto"/>
        <w:ind w:firstLine="424" w:firstLineChars="202"/>
        <w:rPr>
          <w:rFonts w:hint="eastAsia" w:ascii="宋体" w:hAnsi="宋体" w:eastAsia="宋体"/>
          <w:color w:val="auto"/>
        </w:rPr>
      </w:pPr>
      <w:r>
        <w:rPr>
          <w:rFonts w:hint="eastAsia" w:ascii="宋体" w:hAnsi="宋体" w:eastAsia="宋体"/>
          <w:color w:val="auto"/>
        </w:rPr>
        <w:t>支持对人员简历转入人才库，实现储备人才，并支持对储备人才发送节日祝福和标签备注；支持人才库简历转出到招聘职位。</w:t>
      </w:r>
    </w:p>
    <w:p w14:paraId="1908E06E">
      <w:pPr>
        <w:spacing w:line="360" w:lineRule="auto"/>
        <w:ind w:firstLine="424" w:firstLineChars="202"/>
        <w:rPr>
          <w:rFonts w:hint="eastAsia" w:ascii="宋体" w:hAnsi="宋体" w:eastAsia="宋体"/>
          <w:color w:val="auto"/>
        </w:rPr>
      </w:pPr>
      <w:r>
        <w:rPr>
          <w:rFonts w:ascii="宋体" w:hAnsi="宋体" w:eastAsia="宋体"/>
          <w:color w:val="auto"/>
        </w:rPr>
        <w:t>(5)</w:t>
      </w:r>
      <w:r>
        <w:rPr>
          <w:rFonts w:ascii="宋体" w:hAnsi="宋体" w:eastAsia="宋体"/>
          <w:color w:val="auto"/>
        </w:rPr>
        <w:tab/>
      </w:r>
      <w:r>
        <w:rPr>
          <w:rFonts w:ascii="宋体" w:hAnsi="宋体" w:eastAsia="宋体"/>
          <w:color w:val="auto"/>
        </w:rPr>
        <w:t>招聘分析</w:t>
      </w:r>
    </w:p>
    <w:p w14:paraId="70AB4FD2">
      <w:pPr>
        <w:spacing w:line="360" w:lineRule="auto"/>
        <w:ind w:firstLine="424" w:firstLineChars="202"/>
        <w:rPr>
          <w:rFonts w:hint="eastAsia" w:ascii="宋体" w:hAnsi="宋体" w:eastAsia="宋体"/>
          <w:color w:val="auto"/>
        </w:rPr>
      </w:pPr>
      <w:r>
        <w:rPr>
          <w:rFonts w:hint="eastAsia" w:ascii="宋体" w:hAnsi="宋体" w:eastAsia="宋体"/>
          <w:color w:val="auto"/>
        </w:rPr>
        <w:t>提供基于招聘漏斗的招聘阶段转化分析、招聘趋势分析。提供按日、周、月对指定招聘流程、指定招聘类型、指定职位的简历等招聘分析，提供招聘转化、趋势分析。</w:t>
      </w:r>
    </w:p>
    <w:p w14:paraId="5224D573">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4.10.5 人员管理</w:t>
      </w:r>
    </w:p>
    <w:p w14:paraId="3E4AF58E">
      <w:pPr>
        <w:spacing w:line="360" w:lineRule="auto"/>
        <w:ind w:firstLine="424" w:firstLineChars="202"/>
        <w:rPr>
          <w:rFonts w:hint="eastAsia" w:ascii="宋体" w:hAnsi="宋体" w:eastAsia="宋体"/>
          <w:color w:val="auto"/>
        </w:rPr>
      </w:pPr>
      <w:r>
        <w:rPr>
          <w:rFonts w:ascii="宋体" w:hAnsi="宋体" w:eastAsia="宋体"/>
          <w:color w:val="auto"/>
        </w:rPr>
        <w:t>(1)</w:t>
      </w:r>
      <w:r>
        <w:rPr>
          <w:rFonts w:ascii="宋体" w:hAnsi="宋体" w:eastAsia="宋体"/>
          <w:color w:val="auto"/>
        </w:rPr>
        <w:tab/>
      </w:r>
      <w:r>
        <w:rPr>
          <w:rFonts w:ascii="宋体" w:hAnsi="宋体" w:eastAsia="宋体"/>
          <w:color w:val="auto"/>
        </w:rPr>
        <w:t>人员信息管理</w:t>
      </w:r>
    </w:p>
    <w:p w14:paraId="44EB503D">
      <w:pPr>
        <w:spacing w:line="360" w:lineRule="auto"/>
        <w:ind w:firstLine="424" w:firstLineChars="202"/>
        <w:rPr>
          <w:rFonts w:hint="eastAsia" w:ascii="宋体" w:hAnsi="宋体" w:eastAsia="宋体"/>
          <w:color w:val="auto"/>
        </w:rPr>
      </w:pPr>
      <w:r>
        <w:rPr>
          <w:rFonts w:hint="eastAsia" w:ascii="宋体" w:hAnsi="宋体" w:eastAsia="宋体"/>
          <w:color w:val="auto"/>
        </w:rPr>
        <w:t>提供全方位人员信息管理，包括但不限于：基本信息、教育信息、工作经理、执业资格、科研学术、社会任职、党政信息、家庭信息等。</w:t>
      </w:r>
    </w:p>
    <w:p w14:paraId="35AF9E25">
      <w:pPr>
        <w:spacing w:line="360" w:lineRule="auto"/>
        <w:ind w:firstLine="424" w:firstLineChars="202"/>
        <w:rPr>
          <w:rFonts w:hint="eastAsia" w:ascii="宋体" w:hAnsi="宋体" w:eastAsia="宋体"/>
          <w:color w:val="auto"/>
        </w:rPr>
      </w:pPr>
      <w:r>
        <w:rPr>
          <w:rFonts w:hint="eastAsia" w:ascii="宋体" w:hAnsi="宋体" w:eastAsia="宋体"/>
          <w:color w:val="auto"/>
        </w:rPr>
        <w:t>支持人员信息任意子表、字段根据管理需要自由扩充、修改、设置读写权限。</w:t>
      </w:r>
    </w:p>
    <w:p w14:paraId="0366C8FE">
      <w:pPr>
        <w:spacing w:line="360" w:lineRule="auto"/>
        <w:ind w:firstLine="424" w:firstLineChars="202"/>
        <w:rPr>
          <w:rFonts w:hint="eastAsia" w:ascii="宋体" w:hAnsi="宋体" w:eastAsia="宋体"/>
          <w:color w:val="auto"/>
        </w:rPr>
      </w:pPr>
      <w:r>
        <w:rPr>
          <w:rFonts w:hint="eastAsia" w:ascii="宋体" w:hAnsi="宋体" w:eastAsia="宋体"/>
          <w:color w:val="auto"/>
        </w:rPr>
        <w:t>提供自定义人员分类设置人员信息模板（如在职人员、离职人员、退休人员、医生、护士、医技等），满足人员分类管理、差异化管理。</w:t>
      </w:r>
    </w:p>
    <w:p w14:paraId="281E5A72">
      <w:pPr>
        <w:spacing w:line="360" w:lineRule="auto"/>
        <w:ind w:firstLine="424" w:firstLineChars="202"/>
        <w:rPr>
          <w:rFonts w:hint="eastAsia" w:ascii="宋体" w:hAnsi="宋体" w:eastAsia="宋体"/>
          <w:color w:val="auto"/>
        </w:rPr>
      </w:pPr>
      <w:r>
        <w:rPr>
          <w:rFonts w:hint="eastAsia" w:ascii="宋体" w:hAnsi="宋体" w:eastAsia="宋体"/>
          <w:color w:val="auto"/>
        </w:rPr>
        <w:t>自动记录人员信息的变动情况、提供便捷的人员信息历史记录查询。</w:t>
      </w:r>
    </w:p>
    <w:p w14:paraId="0100D490">
      <w:pPr>
        <w:spacing w:line="360" w:lineRule="auto"/>
        <w:ind w:firstLine="424" w:firstLineChars="202"/>
        <w:rPr>
          <w:rFonts w:hint="eastAsia" w:ascii="宋体" w:hAnsi="宋体" w:eastAsia="宋体"/>
          <w:color w:val="auto"/>
        </w:rPr>
      </w:pPr>
      <w:r>
        <w:rPr>
          <w:rFonts w:hint="eastAsia" w:ascii="宋体" w:hAnsi="宋体" w:eastAsia="宋体"/>
          <w:color w:val="auto"/>
        </w:rPr>
        <w:t>提供人员基本信息批量修改、批量增加人员子集信息等操作，提高人员信息维护效率。</w:t>
      </w:r>
    </w:p>
    <w:p w14:paraId="4D835F54">
      <w:pPr>
        <w:spacing w:line="360" w:lineRule="auto"/>
        <w:ind w:firstLine="424" w:firstLineChars="202"/>
        <w:rPr>
          <w:rFonts w:hint="eastAsia" w:ascii="宋体" w:hAnsi="宋体" w:eastAsia="宋体"/>
          <w:color w:val="auto"/>
        </w:rPr>
      </w:pPr>
      <w:r>
        <w:rPr>
          <w:rFonts w:hint="eastAsia" w:ascii="宋体" w:hAnsi="宋体" w:eastAsia="宋体"/>
          <w:color w:val="auto"/>
        </w:rPr>
        <w:t>提供人员信息、附件的批量导入、导出，支持通过自定义人员信息模板导入、导出人员信息。</w:t>
      </w:r>
    </w:p>
    <w:p w14:paraId="1E68D07B">
      <w:pPr>
        <w:spacing w:line="360" w:lineRule="auto"/>
        <w:ind w:firstLine="424" w:firstLineChars="202"/>
        <w:rPr>
          <w:rFonts w:hint="eastAsia" w:ascii="宋体" w:hAnsi="宋体" w:eastAsia="宋体"/>
          <w:color w:val="auto"/>
        </w:rPr>
      </w:pPr>
      <w:r>
        <w:rPr>
          <w:rFonts w:hint="eastAsia" w:ascii="宋体" w:hAnsi="宋体" w:eastAsia="宋体"/>
          <w:color w:val="auto"/>
        </w:rPr>
        <w:t>员工通过自助查询个人信息，支持设置员工个人信息的读写权限，员工自助修改个人信息后由归口科室审核通过后归档更新到人员信息库。</w:t>
      </w:r>
    </w:p>
    <w:p w14:paraId="3986F2AB">
      <w:pPr>
        <w:spacing w:line="360" w:lineRule="auto"/>
        <w:ind w:firstLine="424" w:firstLineChars="202"/>
        <w:rPr>
          <w:rFonts w:hint="eastAsia" w:ascii="宋体" w:hAnsi="宋体" w:eastAsia="宋体"/>
          <w:color w:val="auto"/>
        </w:rPr>
      </w:pPr>
      <w:r>
        <w:rPr>
          <w:rFonts w:hint="eastAsia" w:ascii="宋体" w:hAnsi="宋体" w:eastAsia="宋体"/>
          <w:color w:val="auto"/>
        </w:rPr>
        <w:t>支持员工在院内调动、晋升等人事变动历史记录自动归档到人员信息。</w:t>
      </w:r>
    </w:p>
    <w:p w14:paraId="58F10BC6">
      <w:pPr>
        <w:spacing w:line="360" w:lineRule="auto"/>
        <w:ind w:firstLine="424" w:firstLineChars="202"/>
        <w:rPr>
          <w:rFonts w:hint="eastAsia" w:ascii="宋体" w:hAnsi="宋体" w:eastAsia="宋体"/>
          <w:color w:val="auto"/>
        </w:rPr>
      </w:pPr>
      <w:r>
        <w:rPr>
          <w:rFonts w:hint="eastAsia" w:ascii="宋体" w:hAnsi="宋体" w:eastAsia="宋体"/>
          <w:color w:val="auto"/>
        </w:rPr>
        <w:t>支持自定义查询：能够按人员信息、条件逻辑组合、跨表等，自动记忆查询方案，满足用户灵活多变的查询需求。</w:t>
      </w:r>
    </w:p>
    <w:p w14:paraId="613A12D2">
      <w:pPr>
        <w:spacing w:line="360" w:lineRule="auto"/>
        <w:ind w:firstLine="420" w:firstLineChars="200"/>
        <w:rPr>
          <w:rFonts w:hint="eastAsia" w:ascii="宋体" w:hAnsi="宋体" w:eastAsia="宋体"/>
          <w:color w:val="auto"/>
        </w:rPr>
      </w:pPr>
      <w:r>
        <w:rPr>
          <w:rFonts w:ascii="宋体" w:hAnsi="宋体" w:eastAsia="宋体"/>
          <w:color w:val="auto"/>
        </w:rPr>
        <w:t>(2)</w:t>
      </w:r>
      <w:r>
        <w:rPr>
          <w:rFonts w:ascii="宋体" w:hAnsi="宋体" w:eastAsia="宋体"/>
          <w:color w:val="auto"/>
        </w:rPr>
        <w:tab/>
      </w:r>
      <w:r>
        <w:rPr>
          <w:rFonts w:ascii="宋体" w:hAnsi="宋体" w:eastAsia="宋体"/>
          <w:color w:val="auto"/>
        </w:rPr>
        <w:t>人员异动管理</w:t>
      </w:r>
    </w:p>
    <w:p w14:paraId="2964A774">
      <w:pPr>
        <w:spacing w:line="360" w:lineRule="auto"/>
        <w:ind w:firstLine="424" w:firstLineChars="202"/>
        <w:rPr>
          <w:rFonts w:hint="eastAsia" w:ascii="宋体" w:hAnsi="宋体" w:eastAsia="宋体"/>
          <w:color w:val="auto"/>
        </w:rPr>
      </w:pPr>
      <w:r>
        <w:rPr>
          <w:rFonts w:hint="eastAsia" w:ascii="宋体" w:hAnsi="宋体" w:eastAsia="宋体"/>
          <w:color w:val="auto"/>
        </w:rPr>
        <w:t>支持员工入职、转正、内部调动、兼职、借调、任职、任职到期、离职、退休、返聘、亡故等人事变动处理，人事变动信息自动在人员信息中生成履历记录，便于追溯查询；</w:t>
      </w:r>
    </w:p>
    <w:p w14:paraId="2CE922C0">
      <w:pPr>
        <w:spacing w:line="360" w:lineRule="auto"/>
        <w:ind w:firstLine="424" w:firstLineChars="202"/>
        <w:rPr>
          <w:rFonts w:hint="eastAsia" w:ascii="宋体" w:hAnsi="宋体" w:eastAsia="宋体"/>
          <w:color w:val="auto"/>
        </w:rPr>
      </w:pPr>
      <w:r>
        <w:rPr>
          <w:rFonts w:hint="eastAsia" w:ascii="宋体" w:hAnsi="宋体" w:eastAsia="宋体"/>
          <w:color w:val="auto"/>
        </w:rPr>
        <w:t>支持根据医院人事管理业务需求自由扩展人事业务，如出国、下乡、支边、博士后入出站等，包括自定义人事业务的表单、图形化审批流程定义；</w:t>
      </w:r>
    </w:p>
    <w:p w14:paraId="12D763D9">
      <w:pPr>
        <w:spacing w:line="360" w:lineRule="auto"/>
        <w:ind w:firstLine="424" w:firstLineChars="202"/>
        <w:rPr>
          <w:rFonts w:hint="eastAsia" w:ascii="宋体" w:hAnsi="宋体" w:eastAsia="宋体"/>
          <w:color w:val="auto"/>
        </w:rPr>
      </w:pPr>
      <w:r>
        <w:rPr>
          <w:rFonts w:hint="eastAsia" w:ascii="宋体" w:hAnsi="宋体" w:eastAsia="宋体"/>
          <w:color w:val="auto"/>
        </w:rPr>
        <w:t>支持根据人事业务变动自动变更所在人员信息库，如人员退休后，自动由在职人员信息库转入退休人员信息库；</w:t>
      </w:r>
    </w:p>
    <w:p w14:paraId="027B324B">
      <w:pPr>
        <w:spacing w:line="360" w:lineRule="auto"/>
        <w:ind w:firstLine="424" w:firstLineChars="202"/>
        <w:rPr>
          <w:rFonts w:hint="eastAsia" w:ascii="宋体" w:hAnsi="宋体" w:eastAsia="宋体"/>
          <w:color w:val="auto"/>
        </w:rPr>
      </w:pPr>
      <w:r>
        <w:rPr>
          <w:rFonts w:hint="eastAsia" w:ascii="宋体" w:hAnsi="宋体" w:eastAsia="宋体"/>
          <w:color w:val="auto"/>
        </w:rPr>
        <w:t>提供多种入职管理模式，包括直接入职登记、待入职人员自助提交个人信息再由人事部门进行待入职审核确认后快速办理入职。</w:t>
      </w:r>
    </w:p>
    <w:p w14:paraId="68D3999A">
      <w:pPr>
        <w:spacing w:line="360" w:lineRule="auto"/>
        <w:ind w:firstLine="424" w:firstLineChars="202"/>
        <w:rPr>
          <w:rFonts w:hint="eastAsia" w:ascii="宋体" w:hAnsi="宋体" w:eastAsia="宋体"/>
          <w:color w:val="auto"/>
        </w:rPr>
      </w:pPr>
      <w:r>
        <w:rPr>
          <w:rFonts w:hint="eastAsia" w:ascii="宋体" w:hAnsi="宋体" w:eastAsia="宋体"/>
          <w:color w:val="auto"/>
        </w:rPr>
        <w:t>支持自定义各类人事业务单据是否由员工发起申请，如离职申请、转正申请、学历更新等设置为员工发起时，员工可在自助或</w:t>
      </w:r>
      <w:r>
        <w:rPr>
          <w:rFonts w:ascii="宋体" w:hAnsi="宋体" w:eastAsia="宋体"/>
          <w:color w:val="auto"/>
        </w:rPr>
        <w:t>APP提交申请，根据流程完成在线审批。</w:t>
      </w:r>
    </w:p>
    <w:p w14:paraId="14E7E8B2">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4.10.6 合同管理</w:t>
      </w:r>
    </w:p>
    <w:p w14:paraId="5D4EEFCB">
      <w:pPr>
        <w:spacing w:line="360" w:lineRule="auto"/>
        <w:ind w:firstLine="424" w:firstLineChars="202"/>
        <w:rPr>
          <w:rFonts w:hint="eastAsia" w:ascii="宋体" w:hAnsi="宋体" w:eastAsia="宋体"/>
          <w:color w:val="auto"/>
        </w:rPr>
      </w:pPr>
      <w:r>
        <w:rPr>
          <w:rFonts w:hint="eastAsia" w:ascii="宋体" w:hAnsi="宋体" w:eastAsia="宋体"/>
          <w:color w:val="auto"/>
        </w:rPr>
        <w:t>系统提供人事合同签订、变更、续签、解除、终止的全生命周期管理，并生成合同台账。</w:t>
      </w:r>
    </w:p>
    <w:p w14:paraId="0B8C588B">
      <w:pPr>
        <w:spacing w:line="360" w:lineRule="auto"/>
        <w:ind w:firstLine="424" w:firstLineChars="202"/>
        <w:rPr>
          <w:rFonts w:hint="eastAsia" w:ascii="宋体" w:hAnsi="宋体" w:eastAsia="宋体"/>
          <w:color w:val="auto"/>
        </w:rPr>
      </w:pPr>
      <w:r>
        <w:rPr>
          <w:rFonts w:hint="eastAsia" w:ascii="宋体" w:hAnsi="宋体" w:eastAsia="宋体"/>
          <w:color w:val="auto"/>
        </w:rPr>
        <w:t>支持根据正式员工、临聘员工等各类人员定义不同合同方案，并可以根据管理需要，自由扩展合同项目，支持设置合同模板。</w:t>
      </w:r>
    </w:p>
    <w:p w14:paraId="1C40BED8">
      <w:pPr>
        <w:spacing w:line="360" w:lineRule="auto"/>
        <w:ind w:firstLine="424" w:firstLineChars="202"/>
        <w:rPr>
          <w:rFonts w:hint="eastAsia" w:ascii="宋体" w:hAnsi="宋体" w:eastAsia="宋体"/>
          <w:color w:val="auto"/>
        </w:rPr>
      </w:pPr>
      <w:r>
        <w:rPr>
          <w:rFonts w:hint="eastAsia" w:ascii="宋体" w:hAnsi="宋体" w:eastAsia="宋体"/>
          <w:color w:val="auto"/>
        </w:rPr>
        <w:t>根据入职、离职、退休等人事业务，自动触发合同签订、解除等合同业务的待办事项，实现业务联动。</w:t>
      </w:r>
    </w:p>
    <w:p w14:paraId="301BBE51">
      <w:pPr>
        <w:spacing w:line="360" w:lineRule="auto"/>
        <w:ind w:firstLine="424" w:firstLineChars="202"/>
        <w:rPr>
          <w:rFonts w:hint="eastAsia" w:ascii="宋体" w:hAnsi="宋体" w:eastAsia="宋体"/>
          <w:color w:val="auto"/>
        </w:rPr>
      </w:pPr>
      <w:r>
        <w:rPr>
          <w:rFonts w:hint="eastAsia" w:ascii="宋体" w:hAnsi="宋体" w:eastAsia="宋体"/>
          <w:color w:val="auto"/>
        </w:rPr>
        <w:t>根据《事业单位人事管理条例》要求，设置各类合同预警事件，如合同到期预警，提醒管理人员及时处理合同业务，避免发生人事纠纷。</w:t>
      </w:r>
    </w:p>
    <w:p w14:paraId="7EF3A6B4">
      <w:pPr>
        <w:spacing w:line="360" w:lineRule="auto"/>
        <w:ind w:firstLine="424" w:firstLineChars="202"/>
        <w:rPr>
          <w:rFonts w:hint="eastAsia" w:ascii="宋体" w:hAnsi="宋体" w:eastAsia="宋体"/>
          <w:color w:val="auto"/>
        </w:rPr>
      </w:pPr>
      <w:r>
        <w:rPr>
          <w:rFonts w:hint="eastAsia" w:ascii="宋体" w:hAnsi="宋体" w:eastAsia="宋体"/>
          <w:color w:val="auto"/>
        </w:rPr>
        <w:t>支持合同台账批量导入、导出。</w:t>
      </w:r>
    </w:p>
    <w:p w14:paraId="5937EDDD">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4.10.7</w:t>
      </w:r>
      <w:r>
        <w:rPr>
          <w:rFonts w:hint="eastAsia" w:ascii="宋体" w:hAnsi="宋体"/>
          <w:b/>
          <w:bCs/>
          <w:color w:val="auto"/>
          <w:sz w:val="21"/>
          <w:szCs w:val="22"/>
          <w:lang w:eastAsia="zh-CN"/>
        </w:rPr>
        <w:tab/>
      </w:r>
      <w:r>
        <w:rPr>
          <w:rFonts w:hint="eastAsia" w:ascii="宋体" w:hAnsi="宋体"/>
          <w:b/>
          <w:bCs/>
          <w:color w:val="auto"/>
          <w:sz w:val="21"/>
          <w:szCs w:val="22"/>
          <w:lang w:eastAsia="zh-CN"/>
        </w:rPr>
        <w:t>薪酬管理</w:t>
      </w:r>
    </w:p>
    <w:p w14:paraId="4472DC4B">
      <w:pPr>
        <w:spacing w:line="360" w:lineRule="auto"/>
        <w:ind w:firstLine="420" w:firstLineChars="200"/>
        <w:rPr>
          <w:rFonts w:hint="eastAsia" w:ascii="宋体" w:hAnsi="宋体" w:eastAsia="宋体"/>
          <w:color w:val="auto"/>
        </w:rPr>
      </w:pPr>
      <w:r>
        <w:rPr>
          <w:rFonts w:hint="eastAsia" w:ascii="宋体" w:hAnsi="宋体" w:eastAsia="宋体"/>
          <w:color w:val="auto"/>
        </w:rPr>
        <w:t>（1）薪酬设计</w:t>
      </w:r>
    </w:p>
    <w:p w14:paraId="4E3DE23F">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hint="eastAsia" w:ascii="宋体" w:hAnsi="宋体" w:eastAsia="宋体"/>
          <w:color w:val="auto"/>
        </w:rPr>
        <w:t>支持</w:t>
      </w:r>
      <w:r>
        <w:rPr>
          <w:rFonts w:ascii="宋体" w:hAnsi="宋体" w:eastAsia="宋体"/>
          <w:color w:val="auto"/>
        </w:rPr>
        <w:t>内置医疗卫生行业岗位工资标准表、薪级工资标准表和套改政策在系统中内置岗位工资、薪级工资标准和套改政策；能够对接省厅工资系统的更新的套改政策；</w:t>
      </w:r>
    </w:p>
    <w:p w14:paraId="0ED35CB1">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支持根据医院的薪酬标准规则，建立包括但不限于各类工资薪金、津贴、职位补贴、加班费、夜班费等薪酬标准库，在系统建立包括标准的申请（可上传领导批条）、审核等入库流程；</w:t>
      </w:r>
    </w:p>
    <w:p w14:paraId="60BFEEC4">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支持根据医院规则定义薪酬项目；</w:t>
      </w:r>
    </w:p>
    <w:p w14:paraId="2504ED08">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支持根据医院不同类别的人员，可以根据实际的规则设定不同的薪酬方案；</w:t>
      </w:r>
    </w:p>
    <w:p w14:paraId="0D3FDCCF">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支持薪酬的计算公式界面化设计；</w:t>
      </w:r>
    </w:p>
    <w:p w14:paraId="42ABFDA9">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支持能自定义设定薪酬方案的发放日期以及发放不同银行卡的计算公式；</w:t>
      </w:r>
    </w:p>
    <w:p w14:paraId="15924998">
      <w:pPr>
        <w:spacing w:line="360" w:lineRule="auto"/>
        <w:ind w:firstLine="420" w:firstLineChars="200"/>
        <w:rPr>
          <w:rFonts w:hint="eastAsia" w:ascii="宋体" w:hAnsi="宋体" w:eastAsia="宋体"/>
          <w:color w:val="auto"/>
        </w:rPr>
      </w:pPr>
      <w:r>
        <w:rPr>
          <w:rFonts w:hint="eastAsia" w:ascii="宋体" w:hAnsi="宋体" w:eastAsia="宋体"/>
          <w:color w:val="auto"/>
        </w:rPr>
        <w:t>（2）</w:t>
      </w:r>
      <w:r>
        <w:rPr>
          <w:rFonts w:ascii="宋体" w:hAnsi="宋体" w:eastAsia="宋体"/>
          <w:color w:val="auto"/>
        </w:rPr>
        <w:t>薪酬计算</w:t>
      </w:r>
    </w:p>
    <w:p w14:paraId="1A9D561F">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实现按照不同薪酬方案自动计算员工薪酬；</w:t>
      </w:r>
    </w:p>
    <w:p w14:paraId="5F7ABF98">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支持手工录入或导入员工薪酬项目数据；</w:t>
      </w:r>
    </w:p>
    <w:p w14:paraId="559A2109">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支持考勤数据自动关联薪酬，根据规则自动计算扣款；</w:t>
      </w:r>
    </w:p>
    <w:p w14:paraId="544A8E61">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支持与人员变动关联的不同工资标准，根据人员变动情况系统自动从薪酬标准库提取标准生成当月发放金额；</w:t>
      </w:r>
    </w:p>
    <w:p w14:paraId="1D8B6B3D">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支持薪酬数据按照税务系统格式导出数据，计税完成后重新把计税数据导回薪酬系统；</w:t>
      </w:r>
    </w:p>
    <w:p w14:paraId="313ED5B9">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支持各类津贴补贴（如餐费等）的设定与审核发放；</w:t>
      </w:r>
    </w:p>
    <w:p w14:paraId="29A0409E">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支持医院常用各类报表；</w:t>
      </w:r>
    </w:p>
    <w:p w14:paraId="5CBE88D0">
      <w:pPr>
        <w:spacing w:line="360" w:lineRule="auto"/>
        <w:ind w:firstLine="420" w:firstLineChars="200"/>
        <w:rPr>
          <w:rFonts w:hint="eastAsia" w:ascii="宋体" w:hAnsi="宋体" w:eastAsia="宋体"/>
          <w:color w:val="auto"/>
        </w:rPr>
      </w:pPr>
      <w:r>
        <w:rPr>
          <w:rFonts w:hint="eastAsia" w:ascii="宋体" w:hAnsi="宋体" w:eastAsia="宋体"/>
          <w:color w:val="auto"/>
        </w:rPr>
        <w:t>（3）</w:t>
      </w:r>
      <w:r>
        <w:rPr>
          <w:rFonts w:ascii="宋体" w:hAnsi="宋体" w:eastAsia="宋体"/>
          <w:color w:val="auto"/>
        </w:rPr>
        <w:t>薪酬调整</w:t>
      </w:r>
    </w:p>
    <w:p w14:paraId="72B32721">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支持各类薪酬调整事项的审批过程和表单记录；</w:t>
      </w:r>
    </w:p>
    <w:p w14:paraId="54067C2E">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支持对历史薪酬的补录和调整计算；</w:t>
      </w:r>
    </w:p>
    <w:p w14:paraId="3A1965F4">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支持按条件对历史调整记录的查询；</w:t>
      </w:r>
    </w:p>
    <w:p w14:paraId="094AFE39">
      <w:pPr>
        <w:spacing w:line="360" w:lineRule="auto"/>
        <w:ind w:firstLine="420" w:firstLineChars="200"/>
        <w:rPr>
          <w:rFonts w:hint="eastAsia" w:ascii="宋体" w:hAnsi="宋体" w:eastAsia="宋体"/>
          <w:color w:val="auto"/>
        </w:rPr>
      </w:pPr>
      <w:r>
        <w:rPr>
          <w:rFonts w:hint="eastAsia" w:ascii="宋体" w:hAnsi="宋体" w:eastAsia="宋体"/>
          <w:color w:val="auto"/>
        </w:rPr>
        <w:t>（4）</w:t>
      </w:r>
      <w:r>
        <w:rPr>
          <w:rFonts w:ascii="宋体" w:hAnsi="宋体" w:eastAsia="宋体"/>
          <w:color w:val="auto"/>
        </w:rPr>
        <w:t>薪酬发放</w:t>
      </w:r>
    </w:p>
    <w:p w14:paraId="12343EF2">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支持薪酬数据与财务系统实时同步，方便查询，并按医院规则自动生成工资凭证；</w:t>
      </w:r>
    </w:p>
    <w:p w14:paraId="694BA2EC">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支持电子版工资条，员工可以在员工自助终端和移动终端实时查询；</w:t>
      </w:r>
    </w:p>
    <w:p w14:paraId="72CD0389">
      <w:pPr>
        <w:spacing w:line="360" w:lineRule="auto"/>
        <w:rPr>
          <w:rFonts w:hint="eastAsia" w:ascii="宋体" w:hAnsi="宋体" w:eastAsia="宋体"/>
          <w:color w:val="auto"/>
        </w:rPr>
      </w:pPr>
      <w:r>
        <w:rPr>
          <w:rFonts w:ascii="宋体" w:hAnsi="宋体" w:eastAsia="宋体"/>
          <w:color w:val="auto"/>
        </w:rPr>
        <w:t></w:t>
      </w:r>
      <w:r>
        <w:rPr>
          <w:rFonts w:ascii="宋体" w:hAnsi="宋体" w:eastAsia="宋体"/>
          <w:color w:val="auto"/>
        </w:rPr>
        <w:tab/>
      </w:r>
      <w:r>
        <w:rPr>
          <w:rFonts w:ascii="宋体" w:hAnsi="宋体" w:eastAsia="宋体"/>
          <w:color w:val="auto"/>
        </w:rPr>
        <w:t>支持生成银行导盘数据；</w:t>
      </w:r>
    </w:p>
    <w:p w14:paraId="06C7C567">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4.10.8 考勤管理</w:t>
      </w:r>
    </w:p>
    <w:p w14:paraId="01FFC43F">
      <w:pPr>
        <w:spacing w:line="360" w:lineRule="auto"/>
        <w:ind w:firstLine="420"/>
        <w:rPr>
          <w:rFonts w:hint="eastAsia" w:ascii="宋体" w:hAnsi="宋体" w:eastAsia="宋体"/>
          <w:color w:val="auto"/>
        </w:rPr>
      </w:pPr>
      <w:r>
        <w:rPr>
          <w:rFonts w:ascii="宋体" w:hAnsi="宋体" w:eastAsia="宋体"/>
          <w:color w:val="auto"/>
        </w:rPr>
        <w:t>(1)</w:t>
      </w:r>
      <w:r>
        <w:rPr>
          <w:rFonts w:ascii="宋体" w:hAnsi="宋体" w:eastAsia="宋体"/>
          <w:color w:val="auto"/>
        </w:rPr>
        <w:tab/>
      </w:r>
      <w:r>
        <w:rPr>
          <w:rFonts w:ascii="宋体" w:hAnsi="宋体" w:eastAsia="宋体"/>
          <w:color w:val="auto"/>
        </w:rPr>
        <w:t>休假管理</w:t>
      </w:r>
    </w:p>
    <w:p w14:paraId="7E35F27D">
      <w:pPr>
        <w:spacing w:line="360" w:lineRule="auto"/>
        <w:ind w:firstLine="424" w:firstLineChars="202"/>
        <w:rPr>
          <w:rFonts w:hint="eastAsia" w:ascii="宋体" w:hAnsi="宋体" w:eastAsia="宋体"/>
          <w:color w:val="auto"/>
        </w:rPr>
      </w:pPr>
      <w:r>
        <w:rPr>
          <w:rFonts w:hint="eastAsia" w:ascii="宋体" w:hAnsi="宋体" w:eastAsia="宋体"/>
          <w:color w:val="auto"/>
        </w:rPr>
        <w:t>支持自定义探亲假、年假、婚假、放射保健假等各类假期，及各类假期的休假规则。</w:t>
      </w:r>
    </w:p>
    <w:p w14:paraId="48BAFC34">
      <w:pPr>
        <w:spacing w:line="360" w:lineRule="auto"/>
        <w:ind w:firstLine="424" w:firstLineChars="202"/>
        <w:rPr>
          <w:rFonts w:hint="eastAsia" w:ascii="宋体" w:hAnsi="宋体" w:eastAsia="宋体"/>
          <w:color w:val="auto"/>
        </w:rPr>
      </w:pPr>
      <w:r>
        <w:rPr>
          <w:rFonts w:hint="eastAsia" w:ascii="宋体" w:hAnsi="宋体" w:eastAsia="宋体"/>
          <w:color w:val="auto"/>
        </w:rPr>
        <w:t>支持根据定义的各类休假规则，自动生成假期起初余额，也提供假期余额批量导入。</w:t>
      </w:r>
    </w:p>
    <w:p w14:paraId="3AEE08B3">
      <w:pPr>
        <w:spacing w:line="360" w:lineRule="auto"/>
        <w:ind w:firstLine="424" w:firstLineChars="202"/>
        <w:rPr>
          <w:rFonts w:hint="eastAsia" w:ascii="宋体" w:hAnsi="宋体" w:eastAsia="宋体"/>
          <w:color w:val="auto"/>
        </w:rPr>
      </w:pPr>
      <w:r>
        <w:rPr>
          <w:rFonts w:hint="eastAsia" w:ascii="宋体" w:hAnsi="宋体" w:eastAsia="宋体"/>
          <w:color w:val="auto"/>
        </w:rPr>
        <w:t>支持不同类型假期设置余额控制及延长有效期限，如年假按月释放、跨年有效等。</w:t>
      </w:r>
    </w:p>
    <w:p w14:paraId="18C73C66">
      <w:pPr>
        <w:spacing w:line="360" w:lineRule="auto"/>
        <w:ind w:firstLine="424" w:firstLineChars="202"/>
        <w:rPr>
          <w:rFonts w:hint="eastAsia" w:ascii="宋体" w:hAnsi="宋体" w:eastAsia="宋体"/>
          <w:color w:val="auto"/>
        </w:rPr>
      </w:pPr>
      <w:r>
        <w:rPr>
          <w:rFonts w:hint="eastAsia" w:ascii="宋体" w:hAnsi="宋体" w:eastAsia="宋体"/>
          <w:color w:val="auto"/>
        </w:rPr>
        <w:t>根据员工休假申请单据，自动扣减假期余额，可以手工对个别人员的假期额度进行调整。</w:t>
      </w:r>
    </w:p>
    <w:p w14:paraId="238035F3">
      <w:pPr>
        <w:spacing w:line="360" w:lineRule="auto"/>
        <w:ind w:firstLine="424" w:firstLineChars="202"/>
        <w:rPr>
          <w:rFonts w:hint="eastAsia" w:ascii="宋体" w:hAnsi="宋体" w:eastAsia="宋体"/>
          <w:color w:val="auto"/>
        </w:rPr>
      </w:pPr>
      <w:r>
        <w:rPr>
          <w:rFonts w:hint="eastAsia" w:ascii="宋体" w:hAnsi="宋体" w:eastAsia="宋体"/>
          <w:color w:val="auto"/>
        </w:rPr>
        <w:t>支持员工在自助或移动端申请休假，系统根据申请的休假类型，校验对应假期余额是否充足。</w:t>
      </w:r>
    </w:p>
    <w:p w14:paraId="300CC2E2">
      <w:pPr>
        <w:spacing w:line="360" w:lineRule="auto"/>
        <w:ind w:firstLine="424" w:firstLineChars="202"/>
        <w:rPr>
          <w:rFonts w:hint="eastAsia" w:ascii="宋体" w:hAnsi="宋体" w:eastAsia="宋体"/>
          <w:color w:val="auto"/>
        </w:rPr>
      </w:pPr>
      <w:r>
        <w:rPr>
          <w:rFonts w:hint="eastAsia" w:ascii="宋体" w:hAnsi="宋体" w:eastAsia="宋体"/>
          <w:color w:val="auto"/>
        </w:rPr>
        <w:t>支持自定义休假单据及休假审批流程。</w:t>
      </w:r>
    </w:p>
    <w:p w14:paraId="317AFE50">
      <w:pPr>
        <w:spacing w:line="360" w:lineRule="auto"/>
        <w:ind w:firstLine="424" w:firstLineChars="202"/>
        <w:rPr>
          <w:rFonts w:hint="eastAsia" w:ascii="宋体" w:hAnsi="宋体" w:eastAsia="宋体"/>
          <w:color w:val="auto"/>
        </w:rPr>
      </w:pPr>
      <w:r>
        <w:rPr>
          <w:rFonts w:hint="eastAsia" w:ascii="宋体" w:hAnsi="宋体" w:eastAsia="宋体"/>
          <w:color w:val="auto"/>
        </w:rPr>
        <w:t>提供销假管理，支持用于提前返岗，通过销假管理销除多扣减的请假天数。</w:t>
      </w:r>
    </w:p>
    <w:p w14:paraId="665FF06C">
      <w:pPr>
        <w:spacing w:line="360" w:lineRule="auto"/>
        <w:ind w:firstLine="420"/>
        <w:rPr>
          <w:rFonts w:hint="eastAsia" w:ascii="宋体" w:hAnsi="宋体" w:eastAsia="宋体"/>
          <w:color w:val="auto"/>
        </w:rPr>
      </w:pPr>
      <w:r>
        <w:rPr>
          <w:rFonts w:ascii="宋体" w:hAnsi="宋体" w:eastAsia="宋体"/>
          <w:color w:val="auto"/>
        </w:rPr>
        <w:t>(2)</w:t>
      </w:r>
      <w:r>
        <w:rPr>
          <w:rFonts w:ascii="宋体" w:hAnsi="宋体" w:eastAsia="宋体"/>
          <w:color w:val="auto"/>
        </w:rPr>
        <w:tab/>
      </w:r>
      <w:r>
        <w:rPr>
          <w:rFonts w:ascii="宋体" w:hAnsi="宋体" w:eastAsia="宋体"/>
          <w:color w:val="auto"/>
        </w:rPr>
        <w:t>考勤管理</w:t>
      </w:r>
    </w:p>
    <w:p w14:paraId="4914C874">
      <w:pPr>
        <w:spacing w:line="360" w:lineRule="auto"/>
        <w:ind w:firstLine="424" w:firstLineChars="202"/>
        <w:rPr>
          <w:rFonts w:hint="eastAsia" w:ascii="宋体" w:hAnsi="宋体" w:eastAsia="宋体"/>
          <w:color w:val="auto"/>
        </w:rPr>
      </w:pPr>
      <w:r>
        <w:rPr>
          <w:rFonts w:hint="eastAsia" w:ascii="宋体" w:hAnsi="宋体" w:eastAsia="宋体"/>
          <w:color w:val="auto"/>
        </w:rPr>
        <w:t>支持自定义考勤期间、考勤地点。</w:t>
      </w:r>
    </w:p>
    <w:p w14:paraId="72190382">
      <w:pPr>
        <w:spacing w:line="360" w:lineRule="auto"/>
        <w:ind w:firstLine="424" w:firstLineChars="202"/>
        <w:rPr>
          <w:rFonts w:hint="eastAsia" w:ascii="宋体" w:hAnsi="宋体" w:eastAsia="宋体"/>
          <w:color w:val="auto"/>
        </w:rPr>
      </w:pPr>
      <w:r>
        <w:rPr>
          <w:rFonts w:hint="eastAsia" w:ascii="宋体" w:hAnsi="宋体" w:eastAsia="宋体"/>
          <w:color w:val="auto"/>
        </w:rPr>
        <w:t>支持假日设置，并可导入各类公休节假日。</w:t>
      </w:r>
    </w:p>
    <w:p w14:paraId="0C6BBB31">
      <w:pPr>
        <w:spacing w:line="360" w:lineRule="auto"/>
        <w:ind w:firstLine="424" w:firstLineChars="202"/>
        <w:rPr>
          <w:rFonts w:hint="eastAsia" w:ascii="宋体" w:hAnsi="宋体" w:eastAsia="宋体"/>
          <w:color w:val="auto"/>
        </w:rPr>
      </w:pPr>
      <w:r>
        <w:rPr>
          <w:rFonts w:hint="eastAsia" w:ascii="宋体" w:hAnsi="宋体" w:eastAsia="宋体"/>
          <w:color w:val="auto"/>
        </w:rPr>
        <w:t>支持各科室上报考勤，主管部门审核考勤结果，并对有异常的考勤数据确认、调整。各部门上报的考勤数据汇总生成考勤月报，由人事部门进行审核，为薪酬计算提供数据依据。</w:t>
      </w:r>
    </w:p>
    <w:p w14:paraId="045C9645">
      <w:pPr>
        <w:spacing w:line="360" w:lineRule="auto"/>
        <w:ind w:firstLine="424" w:firstLineChars="202"/>
        <w:rPr>
          <w:rFonts w:hint="eastAsia" w:ascii="宋体" w:hAnsi="宋体" w:eastAsia="宋体"/>
          <w:color w:val="auto"/>
        </w:rPr>
      </w:pPr>
      <w:r>
        <w:rPr>
          <w:rFonts w:hint="eastAsia" w:ascii="宋体" w:hAnsi="宋体" w:eastAsia="宋体"/>
          <w:color w:val="auto"/>
        </w:rPr>
        <w:t>支持考勤结果批量导入。</w:t>
      </w:r>
    </w:p>
    <w:p w14:paraId="48CAB1C1">
      <w:pPr>
        <w:spacing w:line="360" w:lineRule="auto"/>
        <w:ind w:firstLine="424" w:firstLineChars="202"/>
        <w:rPr>
          <w:rFonts w:hint="eastAsia" w:ascii="宋体" w:hAnsi="宋体" w:eastAsia="宋体"/>
          <w:color w:val="auto"/>
        </w:rPr>
      </w:pPr>
      <w:r>
        <w:rPr>
          <w:rFonts w:hint="eastAsia" w:ascii="宋体" w:hAnsi="宋体" w:eastAsia="宋体"/>
          <w:color w:val="auto"/>
        </w:rPr>
        <w:t>支持考勤项目自定义公式，用于考勤结果计算。支持考勤上报时自定义考勤项目，并提供考勤结果汇总填报和按日期明细填报两种模式。</w:t>
      </w:r>
    </w:p>
    <w:p w14:paraId="14A0122F">
      <w:pPr>
        <w:spacing w:line="360" w:lineRule="auto"/>
        <w:ind w:firstLine="424" w:firstLineChars="202"/>
        <w:rPr>
          <w:rFonts w:hint="eastAsia" w:ascii="宋体" w:hAnsi="宋体" w:eastAsia="宋体"/>
          <w:color w:val="auto"/>
        </w:rPr>
      </w:pPr>
      <w:r>
        <w:rPr>
          <w:rFonts w:hint="eastAsia" w:ascii="宋体" w:hAnsi="宋体" w:eastAsia="宋体"/>
          <w:color w:val="auto"/>
        </w:rPr>
        <w:t>提供考勤日报、月报、年报等考勤数据的统计查询。</w:t>
      </w:r>
    </w:p>
    <w:p w14:paraId="1126E58F">
      <w:pPr>
        <w:spacing w:line="360" w:lineRule="auto"/>
        <w:ind w:firstLine="424" w:firstLineChars="202"/>
        <w:rPr>
          <w:rFonts w:hint="eastAsia" w:ascii="宋体" w:hAnsi="宋体" w:eastAsia="宋体"/>
          <w:color w:val="auto"/>
        </w:rPr>
      </w:pPr>
      <w:r>
        <w:rPr>
          <w:rFonts w:hint="eastAsia" w:ascii="宋体" w:hAnsi="宋体" w:eastAsia="宋体"/>
          <w:color w:val="auto"/>
        </w:rPr>
        <w:t>支持考勤结果与薪酬管理联动，自动根据考勤结果生成考勤薪酬调整。</w:t>
      </w:r>
    </w:p>
    <w:p w14:paraId="290458E9">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eastAsia="zh-CN"/>
        </w:rPr>
        <w:t>4.10.9 员工服务</w:t>
      </w:r>
    </w:p>
    <w:p w14:paraId="6A9AB92B">
      <w:pPr>
        <w:spacing w:line="360" w:lineRule="auto"/>
        <w:ind w:firstLine="424" w:firstLineChars="202"/>
        <w:rPr>
          <w:rFonts w:hint="eastAsia" w:ascii="宋体" w:hAnsi="宋体" w:eastAsia="宋体"/>
          <w:color w:val="auto"/>
        </w:rPr>
      </w:pPr>
      <w:r>
        <w:rPr>
          <w:rFonts w:hint="eastAsia" w:ascii="宋体" w:hAnsi="宋体" w:eastAsia="宋体"/>
          <w:color w:val="auto"/>
        </w:rPr>
        <w:t>（</w:t>
      </w:r>
      <w:r>
        <w:rPr>
          <w:rFonts w:ascii="宋体" w:hAnsi="宋体" w:eastAsia="宋体"/>
          <w:color w:val="auto"/>
        </w:rPr>
        <w:t>1）人事业务办理：支持员工自助提交业务申请单据，如离职申请，并可查看已经提交的历史单据及相应审批进度。</w:t>
      </w:r>
    </w:p>
    <w:p w14:paraId="48059EF8">
      <w:pPr>
        <w:spacing w:line="360" w:lineRule="auto"/>
        <w:ind w:firstLine="424" w:firstLineChars="202"/>
        <w:rPr>
          <w:rFonts w:hint="eastAsia" w:ascii="宋体" w:hAnsi="宋体" w:eastAsia="宋体"/>
          <w:color w:val="auto"/>
        </w:rPr>
      </w:pPr>
      <w:r>
        <w:rPr>
          <w:rFonts w:hint="eastAsia" w:ascii="宋体" w:hAnsi="宋体" w:eastAsia="宋体"/>
          <w:color w:val="auto"/>
        </w:rPr>
        <w:t>（</w:t>
      </w:r>
      <w:r>
        <w:rPr>
          <w:rFonts w:ascii="宋体" w:hAnsi="宋体" w:eastAsia="宋体"/>
          <w:color w:val="auto"/>
        </w:rPr>
        <w:t>2）个人信息：员工可自助查看和修改个人信息；可根据医院管理要求灵活配置修改内容是否需要审批及审批的角色；</w:t>
      </w:r>
    </w:p>
    <w:p w14:paraId="682E52D5">
      <w:pPr>
        <w:spacing w:line="360" w:lineRule="auto"/>
        <w:ind w:firstLine="424" w:firstLineChars="202"/>
        <w:rPr>
          <w:rFonts w:hint="eastAsia" w:ascii="宋体" w:hAnsi="宋体" w:eastAsia="宋体"/>
          <w:color w:val="auto"/>
        </w:rPr>
      </w:pPr>
      <w:r>
        <w:rPr>
          <w:rFonts w:hint="eastAsia" w:ascii="宋体" w:hAnsi="宋体" w:eastAsia="宋体"/>
          <w:color w:val="auto"/>
        </w:rPr>
        <w:t>（3</w:t>
      </w:r>
      <w:r>
        <w:rPr>
          <w:rFonts w:ascii="宋体" w:hAnsi="宋体" w:eastAsia="宋体"/>
          <w:color w:val="auto"/>
        </w:rPr>
        <w:t>）考勤单据申请：支持PC</w:t>
      </w:r>
      <w:r>
        <w:rPr>
          <w:rFonts w:hint="eastAsia" w:ascii="宋体" w:hAnsi="宋体" w:eastAsia="宋体"/>
          <w:color w:val="auto"/>
        </w:rPr>
        <w:t>端和移动端</w:t>
      </w:r>
      <w:r>
        <w:rPr>
          <w:rFonts w:ascii="宋体" w:hAnsi="宋体" w:eastAsia="宋体"/>
          <w:color w:val="auto"/>
        </w:rPr>
        <w:t>进行休假申请，跟踪各单据审批情况。</w:t>
      </w:r>
    </w:p>
    <w:p w14:paraId="6A618DFB">
      <w:pPr>
        <w:spacing w:line="360" w:lineRule="auto"/>
        <w:ind w:firstLine="424" w:firstLineChars="202"/>
        <w:rPr>
          <w:rFonts w:hint="eastAsia" w:ascii="宋体" w:hAnsi="宋体" w:eastAsia="宋体"/>
          <w:color w:val="auto"/>
        </w:rPr>
      </w:pPr>
      <w:r>
        <w:rPr>
          <w:rFonts w:hint="eastAsia" w:ascii="宋体" w:hAnsi="宋体" w:eastAsia="宋体"/>
          <w:color w:val="auto"/>
        </w:rPr>
        <w:t>（4</w:t>
      </w:r>
      <w:r>
        <w:rPr>
          <w:rFonts w:ascii="宋体" w:hAnsi="宋体" w:eastAsia="宋体"/>
          <w:color w:val="auto"/>
        </w:rPr>
        <w:t>）开证明：支持移动端提交开证明申请。HR在处理完成之后在后台提交。</w:t>
      </w:r>
    </w:p>
    <w:p w14:paraId="2AEEB4AF">
      <w:pPr>
        <w:spacing w:line="360" w:lineRule="auto"/>
        <w:ind w:firstLine="424" w:firstLineChars="202"/>
        <w:rPr>
          <w:rFonts w:hint="eastAsia" w:ascii="宋体" w:hAnsi="宋体" w:eastAsia="宋体"/>
          <w:color w:val="auto"/>
        </w:rPr>
      </w:pPr>
      <w:r>
        <w:rPr>
          <w:rFonts w:hint="eastAsia" w:ascii="宋体" w:hAnsi="宋体" w:eastAsia="宋体"/>
          <w:color w:val="auto"/>
        </w:rPr>
        <w:t>（5</w:t>
      </w:r>
      <w:r>
        <w:rPr>
          <w:rFonts w:ascii="宋体" w:hAnsi="宋体" w:eastAsia="宋体"/>
          <w:color w:val="auto"/>
        </w:rPr>
        <w:t>）待办业务：系统自动根据人事业务、考勤申请等单据的审批流程进行在线审批，并自动为各节点审批人员推送待办任务及消息提醒。</w:t>
      </w:r>
    </w:p>
    <w:p w14:paraId="4E36457A">
      <w:pPr>
        <w:spacing w:line="360" w:lineRule="auto"/>
        <w:ind w:firstLine="424" w:firstLineChars="202"/>
        <w:rPr>
          <w:rFonts w:hint="eastAsia" w:ascii="宋体" w:hAnsi="宋体" w:eastAsia="宋体"/>
          <w:color w:val="auto"/>
        </w:rPr>
      </w:pPr>
      <w:r>
        <w:rPr>
          <w:rFonts w:hint="eastAsia" w:ascii="宋体" w:hAnsi="宋体" w:eastAsia="宋体"/>
          <w:color w:val="auto"/>
        </w:rPr>
        <w:t>（6</w:t>
      </w:r>
      <w:r>
        <w:rPr>
          <w:rFonts w:ascii="宋体" w:hAnsi="宋体" w:eastAsia="宋体"/>
          <w:color w:val="auto"/>
        </w:rPr>
        <w:t>）支持自助查询个人休假余额。</w:t>
      </w:r>
    </w:p>
    <w:p w14:paraId="2B7F194F">
      <w:pPr>
        <w:spacing w:line="360" w:lineRule="auto"/>
        <w:ind w:firstLine="424" w:firstLineChars="202"/>
        <w:rPr>
          <w:rFonts w:hint="eastAsia" w:ascii="宋体" w:hAnsi="宋体" w:eastAsia="宋体"/>
          <w:color w:val="auto"/>
        </w:rPr>
      </w:pPr>
      <w:r>
        <w:rPr>
          <w:rFonts w:hint="eastAsia" w:ascii="宋体" w:hAnsi="宋体" w:eastAsia="宋体"/>
          <w:color w:val="auto"/>
        </w:rPr>
        <w:t>（7</w:t>
      </w:r>
      <w:r>
        <w:rPr>
          <w:rFonts w:ascii="宋体" w:hAnsi="宋体" w:eastAsia="宋体"/>
          <w:color w:val="auto"/>
        </w:rPr>
        <w:t>）支持自助查询个人工资条。</w:t>
      </w:r>
    </w:p>
    <w:p w14:paraId="21567A8B">
      <w:pPr>
        <w:spacing w:line="360" w:lineRule="auto"/>
        <w:ind w:firstLine="424" w:firstLineChars="202"/>
        <w:rPr>
          <w:rFonts w:hint="eastAsia" w:ascii="宋体" w:hAnsi="宋体" w:eastAsia="宋体"/>
          <w:color w:val="auto"/>
          <w:szCs w:val="21"/>
        </w:rPr>
      </w:pPr>
    </w:p>
    <w:p w14:paraId="73CDB21E">
      <w:pPr>
        <w:pStyle w:val="3"/>
        <w:numPr>
          <w:ilvl w:val="-1"/>
          <w:numId w:val="0"/>
        </w:numPr>
        <w:spacing w:before="0" w:after="0" w:line="360" w:lineRule="auto"/>
        <w:ind w:left="0" w:firstLine="0"/>
        <w:rPr>
          <w:rFonts w:hint="eastAsia" w:ascii="宋体" w:hAnsi="宋体" w:eastAsia="宋体" w:cs="宋体"/>
          <w:color w:val="auto"/>
          <w:sz w:val="28"/>
          <w:szCs w:val="28"/>
        </w:rPr>
      </w:pPr>
      <w:bookmarkStart w:id="188" w:name="_Toc648"/>
      <w:bookmarkStart w:id="189" w:name="_Toc31235"/>
      <w:bookmarkStart w:id="190" w:name="_Toc22253"/>
      <w:r>
        <w:rPr>
          <w:rFonts w:hint="eastAsia" w:ascii="宋体" w:hAnsi="宋体" w:cs="宋体"/>
          <w:color w:val="auto"/>
          <w:sz w:val="28"/>
          <w:szCs w:val="28"/>
          <w:lang w:val="en-US" w:eastAsia="zh-CN"/>
        </w:rPr>
        <w:t xml:space="preserve">4.11 </w:t>
      </w:r>
      <w:r>
        <w:rPr>
          <w:rFonts w:hint="eastAsia" w:ascii="宋体" w:hAnsi="宋体" w:eastAsia="宋体" w:cs="宋体"/>
          <w:color w:val="auto"/>
          <w:sz w:val="28"/>
          <w:szCs w:val="28"/>
        </w:rPr>
        <w:t>物流管理系统升级</w:t>
      </w:r>
      <w:bookmarkEnd w:id="188"/>
      <w:bookmarkEnd w:id="189"/>
      <w:bookmarkEnd w:id="190"/>
    </w:p>
    <w:p w14:paraId="5DADE111">
      <w:pPr>
        <w:spacing w:line="360" w:lineRule="auto"/>
        <w:ind w:firstLine="420" w:firstLineChars="200"/>
        <w:rPr>
          <w:rFonts w:hint="eastAsia" w:ascii="宋体" w:hAnsi="宋体" w:eastAsia="宋体"/>
          <w:color w:val="auto"/>
        </w:rPr>
      </w:pPr>
      <w:r>
        <w:rPr>
          <w:rFonts w:hint="eastAsia" w:ascii="宋体" w:hAnsi="宋体" w:eastAsia="宋体"/>
          <w:color w:val="auto"/>
        </w:rPr>
        <w:t>为最大限度的实现医院HRP系统的互联互通和业务一致性，需要对现有物流管理系统进行升级，实现物流管理系统与HRP系统字典信息一致、用户信息一致，实现统一登陆，</w:t>
      </w:r>
      <w:r>
        <w:rPr>
          <w:rFonts w:hint="eastAsia" w:ascii="宋体" w:hAnsi="宋体" w:eastAsia="宋体"/>
          <w:color w:val="auto"/>
          <w:lang w:eastAsia="zh-CN"/>
        </w:rPr>
        <w:t>实现数据互通，将医院低值易耗品纳入管理，</w:t>
      </w:r>
      <w:r>
        <w:rPr>
          <w:rFonts w:hint="eastAsia" w:ascii="宋体" w:hAnsi="宋体" w:eastAsia="宋体"/>
          <w:color w:val="auto"/>
        </w:rPr>
        <w:t>实现物流相关业务与财务会计管理、预算管理、科研基金管理等业务的无缝衔接。</w:t>
      </w:r>
    </w:p>
    <w:p w14:paraId="134433F0">
      <w:pPr>
        <w:pStyle w:val="3"/>
        <w:numPr>
          <w:ilvl w:val="-1"/>
          <w:numId w:val="0"/>
        </w:numPr>
        <w:spacing w:before="0" w:after="0" w:line="360" w:lineRule="auto"/>
        <w:jc w:val="left"/>
        <w:rPr>
          <w:rFonts w:hint="eastAsia" w:ascii="宋体" w:hAnsi="宋体" w:cs="宋体"/>
          <w:b/>
          <w:bCs/>
          <w:color w:val="auto"/>
          <w:sz w:val="28"/>
          <w:szCs w:val="28"/>
        </w:rPr>
      </w:pPr>
      <w:bookmarkStart w:id="191" w:name="_Toc198885095"/>
      <w:bookmarkStart w:id="192" w:name="_Toc1631"/>
      <w:bookmarkStart w:id="193" w:name="_Toc21702"/>
      <w:bookmarkStart w:id="194" w:name="_Toc3477"/>
      <w:r>
        <w:rPr>
          <w:rFonts w:hint="eastAsia" w:ascii="宋体" w:hAnsi="宋体" w:cs="宋体"/>
          <w:b/>
          <w:bCs/>
          <w:color w:val="auto"/>
          <w:sz w:val="28"/>
          <w:szCs w:val="28"/>
          <w:lang w:val="en-US" w:eastAsia="zh-CN"/>
        </w:rPr>
        <w:t xml:space="preserve">4.12 </w:t>
      </w:r>
      <w:r>
        <w:rPr>
          <w:rFonts w:hint="eastAsia" w:ascii="宋体" w:hAnsi="宋体" w:cs="宋体"/>
          <w:b/>
          <w:bCs/>
          <w:color w:val="auto"/>
          <w:sz w:val="28"/>
          <w:szCs w:val="28"/>
        </w:rPr>
        <w:t>HRP系统与CA集成接口</w:t>
      </w:r>
      <w:bookmarkEnd w:id="191"/>
      <w:bookmarkEnd w:id="192"/>
      <w:bookmarkEnd w:id="193"/>
      <w:bookmarkEnd w:id="194"/>
    </w:p>
    <w:p w14:paraId="63FA4B8E">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4.12.1 </w:t>
      </w:r>
      <w:r>
        <w:rPr>
          <w:rFonts w:hint="eastAsia" w:ascii="宋体" w:hAnsi="宋体"/>
          <w:b/>
          <w:bCs/>
          <w:color w:val="auto"/>
          <w:sz w:val="21"/>
          <w:szCs w:val="22"/>
          <w:lang w:eastAsia="zh-CN"/>
        </w:rPr>
        <w:t>接口描述</w:t>
      </w:r>
    </w:p>
    <w:p w14:paraId="2B7F6DEB">
      <w:pPr>
        <w:spacing w:line="360" w:lineRule="auto"/>
        <w:ind w:firstLine="420" w:firstLineChars="200"/>
        <w:rPr>
          <w:rFonts w:ascii="宋体" w:hAnsi="宋体"/>
          <w:color w:val="auto"/>
        </w:rPr>
      </w:pPr>
      <w:r>
        <w:rPr>
          <w:rFonts w:hint="eastAsia" w:ascii="宋体" w:hAnsi="宋体"/>
          <w:color w:val="auto"/>
        </w:rPr>
        <w:t>为最大限度满足医院</w:t>
      </w:r>
      <w:r>
        <w:rPr>
          <w:rFonts w:ascii="宋体" w:hAnsi="宋体"/>
          <w:color w:val="auto"/>
        </w:rPr>
        <w:t>HRP系统的无纸化管理以及符合国家法律法规等审计要求，要求HRP相关功能服务要集成电子签名功能，具体如下：</w:t>
      </w:r>
    </w:p>
    <w:p w14:paraId="5362FF72">
      <w:pPr>
        <w:spacing w:line="360" w:lineRule="auto"/>
        <w:rPr>
          <w:rFonts w:ascii="宋体" w:hAnsi="宋体"/>
          <w:color w:val="auto"/>
        </w:rPr>
      </w:pPr>
      <w:r>
        <w:rPr>
          <w:rFonts w:hint="eastAsia" w:ascii="宋体" w:hAnsi="宋体"/>
          <w:color w:val="auto"/>
        </w:rPr>
        <w:t>（</w:t>
      </w:r>
      <w:r>
        <w:rPr>
          <w:rFonts w:ascii="宋体" w:hAnsi="宋体"/>
          <w:color w:val="auto"/>
        </w:rPr>
        <w:t>1）需要接入电子签名的功能包括但不限于：费用报销审批流程；</w:t>
      </w:r>
    </w:p>
    <w:p w14:paraId="0DB2DD43">
      <w:pPr>
        <w:spacing w:line="360" w:lineRule="auto"/>
        <w:rPr>
          <w:rFonts w:ascii="宋体" w:hAnsi="宋体"/>
          <w:color w:val="auto"/>
        </w:rPr>
      </w:pPr>
      <w:r>
        <w:rPr>
          <w:rFonts w:hint="eastAsia" w:ascii="宋体" w:hAnsi="宋体"/>
          <w:color w:val="auto"/>
        </w:rPr>
        <w:t>（</w:t>
      </w:r>
      <w:r>
        <w:rPr>
          <w:rFonts w:ascii="宋体" w:hAnsi="宋体"/>
          <w:color w:val="auto"/>
        </w:rPr>
        <w:t>2）需要满足医院HRP系统在PC端和移动端（含app和微信端）的电子签名；</w:t>
      </w:r>
    </w:p>
    <w:p w14:paraId="67CF3BF5">
      <w:pPr>
        <w:spacing w:before="0" w:after="0" w:line="240" w:lineRule="auto"/>
        <w:outlineLvl w:val="3"/>
        <w:rPr>
          <w:rFonts w:hint="eastAsia" w:ascii="宋体" w:hAnsi="宋体"/>
          <w:b/>
          <w:bCs/>
          <w:color w:val="auto"/>
          <w:sz w:val="21"/>
          <w:szCs w:val="22"/>
          <w:lang w:eastAsia="zh-CN"/>
        </w:rPr>
      </w:pPr>
      <w:r>
        <w:rPr>
          <w:rFonts w:hint="eastAsia" w:ascii="宋体" w:hAnsi="宋体"/>
          <w:b/>
          <w:bCs/>
          <w:color w:val="auto"/>
          <w:sz w:val="21"/>
          <w:szCs w:val="22"/>
          <w:lang w:val="en-US" w:eastAsia="zh-CN"/>
        </w:rPr>
        <w:t xml:space="preserve">4.12.2 </w:t>
      </w:r>
      <w:r>
        <w:rPr>
          <w:rFonts w:hint="eastAsia" w:ascii="宋体" w:hAnsi="宋体"/>
          <w:b/>
          <w:bCs/>
          <w:color w:val="auto"/>
          <w:sz w:val="21"/>
          <w:szCs w:val="22"/>
          <w:lang w:eastAsia="zh-CN"/>
        </w:rPr>
        <w:t>接口要求</w:t>
      </w:r>
    </w:p>
    <w:p w14:paraId="764CAF9C">
      <w:pPr>
        <w:spacing w:line="360" w:lineRule="auto"/>
        <w:ind w:firstLine="424" w:firstLineChars="202"/>
        <w:rPr>
          <w:rFonts w:ascii="宋体" w:hAnsi="宋体"/>
          <w:color w:val="auto"/>
        </w:rPr>
      </w:pPr>
      <w:r>
        <w:rPr>
          <w:rFonts w:hint="eastAsia" w:ascii="宋体" w:hAnsi="宋体"/>
          <w:color w:val="auto"/>
        </w:rPr>
        <w:t>电子签名的接口包括但不限于：</w:t>
      </w:r>
    </w:p>
    <w:p w14:paraId="1B716FB9">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1）证书用户模块：包括用户证书查询、身份验证、身份校验、证书用户口令重试等；</w:t>
      </w:r>
    </w:p>
    <w:p w14:paraId="6812B4D6">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2）授权管理模块：包括查询已授权人信息、查询授权信息、授权（批量）、重新授权（批量）、取消授权（批量）；</w:t>
      </w:r>
    </w:p>
    <w:p w14:paraId="150386A3">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3）被授权人身份验证：包括获取口令PIN重试次数、口令PIN验证、口令PIN+短信验证码验证；</w:t>
      </w:r>
    </w:p>
    <w:p w14:paraId="34C05AFA">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4）身份验证流程：包括身份证类型常量说明、二维码验证、客户端获取二维码接口、手机端获取二维码接口、检查手机是否支持身份验证、手机提交口令身份验证接口、手机提交口令指纹验证接口、手机提交口令人脸验证接口、客户端轮询二维码结果接口；</w:t>
      </w:r>
    </w:p>
    <w:p w14:paraId="00FE28C5">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5）绑定设备流程：包括获取支持绑定的身份证类型、客户端获取绑定手机设备的二维码接口、检查用户设备是否开通了该类型的身份验证、提交绑定手机设备信息接口、提交绑定手机设备指纹接口信息、提交绑定手机设备人脸信息接口、客户端轮询二维码结果接口；</w:t>
      </w:r>
    </w:p>
    <w:p w14:paraId="464F4E0F">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6）公共接口：包括修改用户口令、由证书信息获取用户所支持的身份证类别、轮询二维码接口、获取用户已开通的设备身份验证类型、根据绑定设备的二维码信息获取用户信息、电子签名、查询支持的hash算法、查询系统版本等；</w:t>
      </w:r>
    </w:p>
    <w:p w14:paraId="19E1D11D">
      <w:pPr>
        <w:spacing w:line="360" w:lineRule="auto"/>
        <w:ind w:firstLine="424" w:firstLineChars="202"/>
        <w:rPr>
          <w:rFonts w:ascii="宋体" w:hAnsi="宋体"/>
          <w:color w:val="auto"/>
        </w:rPr>
      </w:pPr>
      <w:r>
        <w:rPr>
          <w:rFonts w:hint="eastAsia" w:ascii="宋体" w:hAnsi="宋体"/>
          <w:color w:val="auto"/>
        </w:rPr>
        <w:t>（</w:t>
      </w:r>
      <w:r>
        <w:rPr>
          <w:rFonts w:ascii="宋体" w:hAnsi="宋体"/>
          <w:color w:val="auto"/>
        </w:rPr>
        <w:t>7）电子签章接口：包括上传签章图片、下载签章图片、PDF签章、签章PDF下载、签章PDF下载查询等；</w:t>
      </w:r>
    </w:p>
    <w:p w14:paraId="11351431">
      <w:pPr>
        <w:spacing w:line="360" w:lineRule="auto"/>
        <w:ind w:firstLine="424" w:firstLineChars="202"/>
        <w:rPr>
          <w:rFonts w:hint="eastAsia" w:ascii="宋体" w:hAnsi="宋体"/>
          <w:color w:val="auto"/>
        </w:rPr>
      </w:pPr>
      <w:r>
        <w:rPr>
          <w:rFonts w:hint="eastAsia" w:ascii="宋体" w:hAnsi="宋体"/>
          <w:color w:val="auto"/>
        </w:rPr>
        <w:t>备注：</w:t>
      </w:r>
      <w:bookmarkStart w:id="195" w:name="OLE_LINK1"/>
      <w:r>
        <w:rPr>
          <w:rFonts w:hint="eastAsia" w:ascii="宋体" w:hAnsi="宋体"/>
          <w:color w:val="auto"/>
        </w:rPr>
        <w:t>具体的接口规范说明项目进场后由我院提供给中标厂家。</w:t>
      </w:r>
      <w:bookmarkEnd w:id="195"/>
    </w:p>
    <w:p w14:paraId="6F32C586">
      <w:pPr>
        <w:pStyle w:val="3"/>
        <w:numPr>
          <w:ilvl w:val="-1"/>
          <w:numId w:val="0"/>
        </w:numPr>
        <w:spacing w:before="0" w:after="0" w:line="360" w:lineRule="auto"/>
        <w:jc w:val="left"/>
        <w:rPr>
          <w:rFonts w:hint="eastAsia" w:ascii="宋体" w:hAnsi="宋体" w:cs="宋体"/>
          <w:b/>
          <w:bCs/>
          <w:color w:val="auto"/>
          <w:sz w:val="28"/>
          <w:szCs w:val="28"/>
          <w:lang w:eastAsia="zh-CN"/>
        </w:rPr>
      </w:pPr>
      <w:bookmarkStart w:id="196" w:name="_Toc15127"/>
      <w:bookmarkStart w:id="197" w:name="_Toc32187"/>
      <w:bookmarkStart w:id="198" w:name="_Toc21403"/>
      <w:r>
        <w:rPr>
          <w:rFonts w:hint="eastAsia" w:ascii="宋体" w:hAnsi="宋体" w:cs="宋体"/>
          <w:b/>
          <w:bCs/>
          <w:color w:val="auto"/>
          <w:sz w:val="28"/>
          <w:szCs w:val="28"/>
          <w:lang w:val="en-US" w:eastAsia="zh-CN"/>
        </w:rPr>
        <w:t xml:space="preserve">4.13 </w:t>
      </w:r>
      <w:r>
        <w:rPr>
          <w:rFonts w:hint="eastAsia" w:ascii="宋体" w:hAnsi="宋体" w:cs="宋体"/>
          <w:b/>
          <w:bCs/>
          <w:color w:val="auto"/>
          <w:sz w:val="28"/>
          <w:szCs w:val="28"/>
        </w:rPr>
        <w:t>HRP系统与</w:t>
      </w:r>
      <w:r>
        <w:rPr>
          <w:rFonts w:hint="eastAsia" w:ascii="宋体" w:hAnsi="宋体" w:cs="宋体"/>
          <w:b/>
          <w:bCs/>
          <w:color w:val="auto"/>
          <w:sz w:val="28"/>
          <w:szCs w:val="28"/>
          <w:lang w:eastAsia="zh-CN"/>
        </w:rPr>
        <w:t>集成平台等系统</w:t>
      </w:r>
      <w:r>
        <w:rPr>
          <w:rFonts w:hint="eastAsia" w:ascii="宋体" w:hAnsi="宋体" w:cs="宋体"/>
          <w:b/>
          <w:bCs/>
          <w:color w:val="auto"/>
          <w:sz w:val="28"/>
          <w:szCs w:val="28"/>
        </w:rPr>
        <w:t>接口</w:t>
      </w:r>
      <w:r>
        <w:rPr>
          <w:rFonts w:hint="eastAsia" w:ascii="宋体" w:hAnsi="宋体" w:cs="宋体"/>
          <w:b/>
          <w:bCs/>
          <w:color w:val="auto"/>
          <w:sz w:val="28"/>
          <w:szCs w:val="28"/>
          <w:lang w:eastAsia="zh-CN"/>
        </w:rPr>
        <w:t>开发</w:t>
      </w:r>
      <w:bookmarkEnd w:id="196"/>
      <w:bookmarkEnd w:id="197"/>
      <w:bookmarkEnd w:id="198"/>
    </w:p>
    <w:p w14:paraId="03B14099">
      <w:pPr>
        <w:ind w:firstLine="420" w:firstLineChars="200"/>
        <w:rPr>
          <w:rFonts w:hint="eastAsia"/>
          <w:color w:val="auto"/>
          <w:lang w:eastAsia="zh-CN"/>
        </w:rPr>
      </w:pPr>
      <w:r>
        <w:rPr>
          <w:rFonts w:hint="eastAsia" w:ascii="宋体" w:hAnsi="宋体"/>
          <w:color w:val="auto"/>
          <w:lang w:val="en-US" w:eastAsia="zh-CN"/>
        </w:rPr>
        <w:t>为适配系统功能，HRP系统与集成平台等医院信息系统的接口开发服务，</w:t>
      </w:r>
      <w:r>
        <w:rPr>
          <w:rFonts w:hint="eastAsia" w:ascii="宋体" w:hAnsi="宋体"/>
          <w:color w:val="auto"/>
        </w:rPr>
        <w:t>具体的接口规范说明项目进场后由我院提供给中标厂家。</w:t>
      </w:r>
    </w:p>
    <w:p w14:paraId="1B67BFE8">
      <w:pPr>
        <w:spacing w:line="360" w:lineRule="auto"/>
        <w:ind w:firstLine="424" w:firstLineChars="202"/>
        <w:rPr>
          <w:rFonts w:hint="eastAsia" w:ascii="宋体" w:hAnsi="宋体"/>
          <w:color w:val="auto"/>
        </w:rPr>
      </w:pPr>
    </w:p>
    <w:p w14:paraId="1C599B12">
      <w:pPr>
        <w:pStyle w:val="2"/>
        <w:numPr>
          <w:ilvl w:val="0"/>
          <w:numId w:val="4"/>
        </w:numPr>
        <w:spacing w:before="0" w:after="0" w:line="360" w:lineRule="auto"/>
        <w:jc w:val="left"/>
        <w:rPr>
          <w:rFonts w:ascii="宋体" w:hAnsi="宋体" w:cs="宋体"/>
          <w:color w:val="auto"/>
          <w:sz w:val="32"/>
          <w:szCs w:val="32"/>
        </w:rPr>
      </w:pPr>
      <w:bookmarkStart w:id="199" w:name="_Toc2836"/>
      <w:bookmarkStart w:id="200" w:name="_Toc9944"/>
      <w:bookmarkStart w:id="201" w:name="_Toc198885096"/>
      <w:bookmarkStart w:id="202" w:name="_Toc21083"/>
      <w:bookmarkStart w:id="203" w:name="_Toc28070"/>
      <w:r>
        <w:rPr>
          <w:rFonts w:hint="eastAsia" w:ascii="宋体" w:hAnsi="宋体" w:cs="宋体"/>
          <w:color w:val="auto"/>
          <w:sz w:val="32"/>
          <w:szCs w:val="32"/>
        </w:rPr>
        <w:t>项目建设技术要求</w:t>
      </w:r>
      <w:bookmarkEnd w:id="199"/>
      <w:bookmarkEnd w:id="200"/>
      <w:bookmarkEnd w:id="201"/>
      <w:bookmarkEnd w:id="202"/>
      <w:bookmarkEnd w:id="203"/>
    </w:p>
    <w:p w14:paraId="25877704">
      <w:pPr>
        <w:spacing w:line="360" w:lineRule="auto"/>
        <w:ind w:firstLine="420" w:firstLineChars="200"/>
        <w:jc w:val="left"/>
        <w:rPr>
          <w:rFonts w:ascii="宋体" w:hAnsi="宋体" w:cs="宋体"/>
          <w:color w:val="auto"/>
        </w:rPr>
      </w:pPr>
      <w:r>
        <w:rPr>
          <w:rFonts w:hint="eastAsia" w:ascii="宋体" w:hAnsi="宋体" w:cs="宋体"/>
          <w:color w:val="auto"/>
        </w:rPr>
        <w:t>本项目建设的技术要求必须根据本文件的内容进行结构性编制；也可以根据自己对项目建设总体目标的理解增加内容，并按照系统化的要求进行设计方案的编制。</w:t>
      </w:r>
    </w:p>
    <w:p w14:paraId="2D512CFA">
      <w:pPr>
        <w:keepNext/>
        <w:keepLines/>
        <w:numPr>
          <w:ilvl w:val="-1"/>
          <w:numId w:val="0"/>
        </w:numPr>
        <w:spacing w:before="120" w:after="120" w:line="360" w:lineRule="auto"/>
        <w:ind w:left="0" w:firstLine="0" w:firstLineChars="0"/>
        <w:outlineLvl w:val="1"/>
        <w:rPr>
          <w:rFonts w:ascii="宋体" w:hAnsi="宋体" w:cs="宋体"/>
          <w:b/>
          <w:bCs/>
          <w:color w:val="auto"/>
        </w:rPr>
      </w:pPr>
      <w:bookmarkStart w:id="204" w:name="_Toc198885097"/>
      <w:bookmarkStart w:id="205" w:name="_Toc533007937"/>
      <w:bookmarkStart w:id="206" w:name="_Toc17328"/>
      <w:bookmarkStart w:id="207" w:name="_Toc5693"/>
      <w:bookmarkStart w:id="208" w:name="_Toc23039"/>
      <w:bookmarkStart w:id="209" w:name="_Toc17565"/>
      <w:r>
        <w:rPr>
          <w:rFonts w:hint="eastAsia" w:ascii="宋体" w:hAnsi="宋体" w:cs="宋体"/>
          <w:b/>
          <w:bCs/>
          <w:color w:val="auto"/>
          <w:lang w:val="en-US" w:eastAsia="zh-CN"/>
        </w:rPr>
        <w:t xml:space="preserve">5.1 </w:t>
      </w:r>
      <w:r>
        <w:rPr>
          <w:rFonts w:hint="eastAsia" w:ascii="宋体" w:hAnsi="宋体" w:cs="宋体"/>
          <w:b/>
          <w:bCs/>
          <w:color w:val="auto"/>
        </w:rPr>
        <w:t>系统技术要求</w:t>
      </w:r>
      <w:bookmarkEnd w:id="204"/>
      <w:bookmarkEnd w:id="205"/>
      <w:bookmarkEnd w:id="206"/>
      <w:bookmarkEnd w:id="207"/>
      <w:bookmarkEnd w:id="208"/>
      <w:bookmarkEnd w:id="209"/>
    </w:p>
    <w:p w14:paraId="0D947261">
      <w:pPr>
        <w:spacing w:line="360" w:lineRule="auto"/>
        <w:ind w:firstLine="420" w:firstLineChars="200"/>
        <w:jc w:val="left"/>
        <w:rPr>
          <w:rFonts w:ascii="宋体" w:hAnsi="宋体" w:cs="宋体"/>
          <w:color w:val="auto"/>
        </w:rPr>
      </w:pPr>
      <w:r>
        <w:rPr>
          <w:rFonts w:hint="eastAsia" w:ascii="宋体" w:hAnsi="宋体" w:cs="宋体"/>
          <w:color w:val="auto"/>
        </w:rPr>
        <w:t>从技术层面上需遵循如下的技术要求：</w:t>
      </w:r>
    </w:p>
    <w:p w14:paraId="1077B138">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系统采用B/S架构：系统各模块需采用同一技术架构，在统一的底层基础平台上进行设计。医院各分系统等均需采用B/S技术架构实现。</w:t>
      </w:r>
    </w:p>
    <w:p w14:paraId="7C06FDF9">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与第三方信息系统的数据交换：提供与医院第三方系统统一接口的维护与管理系统，实现针对HIS、EMR、药品等关键医疗业务信息系统以及医院采购管理系统、物流管理系统等关键运营管理系统的数据交换。</w:t>
      </w:r>
    </w:p>
    <w:p w14:paraId="187EB27E">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关键技术：根据医院一体化应用功能需求和相关建设规范，考虑到系统运行的长远规划，以及整个系统的跨平台性、安全性、可靠性、稳定性、易维护性以及可扩展性，建议采用J2EE架构来设计。</w:t>
      </w:r>
    </w:p>
    <w:p w14:paraId="1CB5E180">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先进性：系统要利用一些现行的、技术成熟的开发工具来辅助完成系统建设。</w:t>
      </w:r>
    </w:p>
    <w:p w14:paraId="1BD186FD">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健壮性：系统稳定可靠，保证每周7*24小时不间断正常运行，工作日期间不能宕机，年平均宕机时间应小于8小时。</w:t>
      </w:r>
    </w:p>
    <w:p w14:paraId="63A48B6C">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安全性：信息安全要体现在信息管理全过程：收集、录入、传输、储存、交流、查询、反馈、分析、利用、发布；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w:t>
      </w:r>
    </w:p>
    <w:p w14:paraId="7314085A">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灵活性：建立灵活多样的多字段查询功能，为用户的组合查询、统计分析和信息利用提供方便；设计多种数据导出格式，如 Excel 和 XML格式，满足不同用户的数据分析输出需要；建立合理、多样、灵活的数据采集方式，满足不同发展水平的医疗单位的需要。</w:t>
      </w:r>
    </w:p>
    <w:p w14:paraId="0C0F2560">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延展性：数据库结构的设计应充分考虑发展和移植的需要，建立系统良好的扩展性和伸缩性，适度冗余也是系统建设的必要环节。</w:t>
      </w:r>
    </w:p>
    <w:p w14:paraId="1FFDA747">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完整性：在数据的采集和数据交换环节要确保数据的完整性。</w:t>
      </w:r>
    </w:p>
    <w:p w14:paraId="6D8CE40A">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友好性：人机界面设计简洁美观、风格统一，利于基层业务人员简单操作。</w:t>
      </w:r>
    </w:p>
    <w:p w14:paraId="14DD4970">
      <w:pPr>
        <w:keepNext/>
        <w:keepLines/>
        <w:numPr>
          <w:ilvl w:val="-1"/>
          <w:numId w:val="0"/>
        </w:numPr>
        <w:spacing w:before="120" w:after="120" w:line="360" w:lineRule="auto"/>
        <w:ind w:left="0" w:firstLine="0" w:firstLineChars="0"/>
        <w:outlineLvl w:val="1"/>
        <w:rPr>
          <w:rFonts w:ascii="宋体" w:hAnsi="宋体" w:cs="宋体"/>
          <w:b/>
          <w:bCs/>
          <w:color w:val="auto"/>
        </w:rPr>
      </w:pPr>
      <w:bookmarkStart w:id="210" w:name="_Toc198885098"/>
      <w:bookmarkStart w:id="211" w:name="_Toc533007938"/>
      <w:bookmarkStart w:id="212" w:name="_Toc10525"/>
      <w:bookmarkStart w:id="213" w:name="_Toc1058"/>
      <w:bookmarkStart w:id="214" w:name="_Toc19042"/>
      <w:bookmarkStart w:id="215" w:name="_Toc14228"/>
      <w:r>
        <w:rPr>
          <w:rFonts w:hint="eastAsia" w:ascii="宋体" w:hAnsi="宋体" w:cs="宋体"/>
          <w:b/>
          <w:bCs/>
          <w:color w:val="auto"/>
          <w:lang w:val="en-US" w:eastAsia="zh-CN"/>
        </w:rPr>
        <w:t xml:space="preserve">5.2 </w:t>
      </w:r>
      <w:r>
        <w:rPr>
          <w:rFonts w:hint="eastAsia" w:ascii="宋体" w:hAnsi="宋体" w:cs="宋体"/>
          <w:b/>
          <w:bCs/>
          <w:color w:val="auto"/>
        </w:rPr>
        <w:t>环境配置要求</w:t>
      </w:r>
      <w:bookmarkEnd w:id="210"/>
      <w:bookmarkEnd w:id="211"/>
      <w:bookmarkEnd w:id="212"/>
      <w:bookmarkEnd w:id="213"/>
      <w:bookmarkEnd w:id="214"/>
      <w:bookmarkEnd w:id="215"/>
    </w:p>
    <w:p w14:paraId="10A3AA50">
      <w:pPr>
        <w:spacing w:line="360" w:lineRule="auto"/>
        <w:ind w:firstLine="420" w:firstLineChars="200"/>
        <w:jc w:val="left"/>
        <w:rPr>
          <w:rFonts w:ascii="宋体" w:hAnsi="宋体" w:cs="宋体"/>
          <w:color w:val="auto"/>
        </w:rPr>
      </w:pPr>
      <w:r>
        <w:rPr>
          <w:rFonts w:hint="eastAsia" w:ascii="宋体" w:hAnsi="宋体" w:cs="宋体"/>
          <w:color w:val="auto"/>
        </w:rPr>
        <w:t>本项目建设所需的服务器及网络环境配置，如服务器、网络、操作系统等环境因素，由供应商给建议方案。建议方案不限于必须要配置的相关服务器等设备。所谓设备配置方案，涵盖硬件设备和基础平台的系统软件产品，例如操作系统、各类平台级中间件等产品。</w:t>
      </w:r>
    </w:p>
    <w:p w14:paraId="219C3699">
      <w:pPr>
        <w:keepNext/>
        <w:keepLines/>
        <w:numPr>
          <w:ilvl w:val="-1"/>
          <w:numId w:val="0"/>
        </w:numPr>
        <w:spacing w:before="120" w:after="120" w:line="360" w:lineRule="auto"/>
        <w:ind w:left="0" w:firstLine="0" w:firstLineChars="0"/>
        <w:outlineLvl w:val="1"/>
        <w:rPr>
          <w:rFonts w:ascii="宋体" w:hAnsi="宋体" w:cs="宋体"/>
          <w:color w:val="auto"/>
        </w:rPr>
      </w:pPr>
      <w:bookmarkStart w:id="216" w:name="_Toc529161284"/>
      <w:bookmarkStart w:id="217" w:name="_Toc198885099"/>
      <w:bookmarkStart w:id="218" w:name="_Toc29580"/>
      <w:bookmarkStart w:id="219" w:name="_Toc11756"/>
      <w:bookmarkStart w:id="220" w:name="_Toc26101"/>
      <w:bookmarkStart w:id="221" w:name="_Toc11912"/>
      <w:r>
        <w:rPr>
          <w:rFonts w:hint="eastAsia" w:ascii="宋体" w:hAnsi="宋体" w:cs="宋体"/>
          <w:b/>
          <w:bCs/>
          <w:color w:val="auto"/>
          <w:lang w:val="en-US" w:eastAsia="zh-CN"/>
        </w:rPr>
        <w:t xml:space="preserve">5.3 </w:t>
      </w:r>
      <w:r>
        <w:rPr>
          <w:rFonts w:hint="eastAsia" w:ascii="宋体" w:hAnsi="宋体" w:cs="宋体"/>
          <w:b/>
          <w:bCs/>
          <w:color w:val="auto"/>
        </w:rPr>
        <w:t>接口管理</w:t>
      </w:r>
      <w:bookmarkEnd w:id="216"/>
      <w:r>
        <w:rPr>
          <w:rFonts w:hint="eastAsia" w:ascii="宋体" w:hAnsi="宋体" w:cs="宋体"/>
          <w:b/>
          <w:bCs/>
          <w:color w:val="auto"/>
        </w:rPr>
        <w:t>要求</w:t>
      </w:r>
      <w:bookmarkEnd w:id="217"/>
      <w:bookmarkEnd w:id="218"/>
      <w:bookmarkEnd w:id="219"/>
      <w:bookmarkEnd w:id="220"/>
      <w:bookmarkEnd w:id="221"/>
    </w:p>
    <w:p w14:paraId="5AB56ACE">
      <w:pPr>
        <w:spacing w:line="360" w:lineRule="auto"/>
        <w:ind w:firstLine="420" w:firstLineChars="200"/>
        <w:jc w:val="left"/>
        <w:rPr>
          <w:rFonts w:ascii="宋体" w:hAnsi="宋体" w:cs="宋体"/>
          <w:color w:val="auto"/>
        </w:rPr>
      </w:pPr>
      <w:r>
        <w:rPr>
          <w:rFonts w:hint="eastAsia" w:ascii="宋体" w:hAnsi="宋体" w:cs="宋体"/>
          <w:color w:val="auto"/>
        </w:rPr>
        <w:t>本项目建设中，需要完成与医院采购管理系统、物流管理系统的接口工作，实现数据共享与业务上的衔接，满足医院信息化建设互联互通的要求。供应商需承担自身职责范围内的接口工作及相关费用，同时承担医院采购管理系统、物流管理系统厂商对接产生的接口相关费用。</w:t>
      </w:r>
    </w:p>
    <w:p w14:paraId="02616D13">
      <w:pPr>
        <w:spacing w:line="360" w:lineRule="auto"/>
        <w:ind w:firstLine="420" w:firstLineChars="200"/>
        <w:jc w:val="left"/>
        <w:rPr>
          <w:rFonts w:ascii="宋体" w:hAnsi="宋体" w:cs="宋体"/>
          <w:color w:val="auto"/>
        </w:rPr>
      </w:pPr>
      <w:r>
        <w:rPr>
          <w:rFonts w:hint="eastAsia" w:ascii="宋体" w:hAnsi="宋体" w:cs="宋体"/>
          <w:color w:val="auto"/>
        </w:rPr>
        <w:t>本项目建设中，需要完成与HIS系统的接口工作，实现数据共享与业务上的衔接，满足医院信息化建设互联互通的要求。供应商需承担自身职责范围内的接口工作及相关费用。</w:t>
      </w:r>
    </w:p>
    <w:p w14:paraId="11AB27FA">
      <w:pPr>
        <w:spacing w:line="360" w:lineRule="auto"/>
        <w:ind w:firstLine="420" w:firstLineChars="200"/>
        <w:jc w:val="left"/>
        <w:rPr>
          <w:rFonts w:ascii="宋体" w:hAnsi="宋体" w:cs="宋体"/>
          <w:color w:val="auto"/>
        </w:rPr>
      </w:pPr>
    </w:p>
    <w:p w14:paraId="5AB44512">
      <w:pPr>
        <w:pStyle w:val="2"/>
        <w:numPr>
          <w:ilvl w:val="0"/>
          <w:numId w:val="4"/>
        </w:numPr>
        <w:spacing w:before="0" w:after="0" w:line="360" w:lineRule="auto"/>
        <w:jc w:val="left"/>
        <w:rPr>
          <w:rFonts w:ascii="宋体" w:hAnsi="宋体" w:cs="宋体"/>
          <w:color w:val="auto"/>
          <w:sz w:val="32"/>
          <w:szCs w:val="32"/>
        </w:rPr>
      </w:pPr>
      <w:bookmarkStart w:id="222" w:name="_Toc198885100"/>
      <w:bookmarkStart w:id="223" w:name="_Toc400"/>
      <w:bookmarkStart w:id="224" w:name="_Toc13785"/>
      <w:bookmarkStart w:id="225" w:name="_Toc3695"/>
      <w:bookmarkStart w:id="226" w:name="_Toc15558"/>
      <w:r>
        <w:rPr>
          <w:rFonts w:hint="eastAsia" w:ascii="宋体" w:hAnsi="宋体" w:cs="宋体"/>
          <w:color w:val="auto"/>
          <w:sz w:val="32"/>
          <w:szCs w:val="32"/>
        </w:rPr>
        <w:t>售后服务要求</w:t>
      </w:r>
      <w:bookmarkEnd w:id="222"/>
      <w:bookmarkEnd w:id="223"/>
      <w:bookmarkEnd w:id="224"/>
      <w:bookmarkEnd w:id="225"/>
      <w:bookmarkEnd w:id="226"/>
    </w:p>
    <w:p w14:paraId="7FE891F8">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供应商需提供不少于一年的原厂免费质保，必须出示原厂的售后服务承诺书；质保期从系统验收通过之日起计算；质保期内免上门费、维修费和系统升级费等。</w:t>
      </w:r>
    </w:p>
    <w:p w14:paraId="349AE420">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质保期内，供应商需保证7*24小时的服务响应，响应时间不得低于如下标准：接到院方的通知后4小时内必须做出明确的响应和安排；8小时内做出故障诊断报告，常规故障12小时内必须解决。需提供现场服务的，服务团队须在24小时内达到故障现场；</w:t>
      </w:r>
    </w:p>
    <w:p w14:paraId="24B6BF03">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供应商还需对质保期满后服务内容、服务方式及收费标准进行说明。</w:t>
      </w:r>
    </w:p>
    <w:p w14:paraId="13C938FD">
      <w:pPr>
        <w:widowControl/>
        <w:spacing w:line="360" w:lineRule="auto"/>
        <w:ind w:firstLine="367" w:firstLineChars="175"/>
        <w:jc w:val="left"/>
        <w:rPr>
          <w:rFonts w:ascii="宋体" w:hAnsi="宋体" w:cs="宋体"/>
          <w:color w:val="auto"/>
        </w:rPr>
      </w:pPr>
    </w:p>
    <w:p w14:paraId="1E6F003D">
      <w:pPr>
        <w:pStyle w:val="2"/>
        <w:numPr>
          <w:ilvl w:val="0"/>
          <w:numId w:val="4"/>
        </w:numPr>
        <w:spacing w:before="0" w:after="0" w:line="360" w:lineRule="auto"/>
        <w:jc w:val="left"/>
        <w:rPr>
          <w:rFonts w:ascii="宋体" w:hAnsi="宋体" w:cs="宋体"/>
          <w:color w:val="auto"/>
          <w:sz w:val="32"/>
          <w:szCs w:val="32"/>
        </w:rPr>
      </w:pPr>
      <w:bookmarkStart w:id="227" w:name="_Toc20522"/>
      <w:bookmarkStart w:id="228" w:name="_Toc198885101"/>
      <w:bookmarkStart w:id="229" w:name="_Toc31269"/>
      <w:bookmarkStart w:id="230" w:name="_Toc11383"/>
      <w:bookmarkStart w:id="231" w:name="_Toc24417"/>
      <w:r>
        <w:rPr>
          <w:rFonts w:hint="eastAsia" w:ascii="宋体" w:hAnsi="宋体" w:cs="宋体"/>
          <w:color w:val="auto"/>
          <w:sz w:val="32"/>
          <w:szCs w:val="32"/>
        </w:rPr>
        <w:t>其他要求</w:t>
      </w:r>
      <w:bookmarkEnd w:id="227"/>
      <w:bookmarkEnd w:id="228"/>
      <w:bookmarkEnd w:id="229"/>
      <w:bookmarkEnd w:id="230"/>
      <w:bookmarkEnd w:id="231"/>
    </w:p>
    <w:p w14:paraId="21683717">
      <w:pPr>
        <w:spacing w:line="360" w:lineRule="auto"/>
        <w:ind w:firstLine="420" w:firstLineChars="200"/>
        <w:jc w:val="left"/>
        <w:rPr>
          <w:rFonts w:ascii="宋体" w:hAnsi="宋体" w:cs="宋体"/>
          <w:color w:val="auto"/>
        </w:rPr>
      </w:pPr>
      <w:r>
        <w:rPr>
          <w:rFonts w:hint="eastAsia" w:ascii="宋体" w:hAnsi="宋体" w:cs="宋体"/>
          <w:color w:val="auto"/>
        </w:rPr>
        <w:t>本章节内容会直接影响本次招标的结果，每条内容都必须做出明确响应：</w:t>
      </w:r>
    </w:p>
    <w:p w14:paraId="587F23B0">
      <w:pPr>
        <w:widowControl/>
        <w:numPr>
          <w:ilvl w:val="0"/>
          <w:numId w:val="23"/>
        </w:numPr>
        <w:spacing w:line="360" w:lineRule="auto"/>
        <w:ind w:left="0" w:firstLine="420" w:firstLineChars="200"/>
        <w:jc w:val="left"/>
        <w:rPr>
          <w:rFonts w:ascii="宋体" w:hAnsi="宋体" w:cs="宋体"/>
          <w:color w:val="auto"/>
        </w:rPr>
      </w:pPr>
      <w:r>
        <w:rPr>
          <w:rFonts w:hint="eastAsia" w:ascii="宋体" w:hAnsi="宋体" w:cs="宋体"/>
          <w:color w:val="auto"/>
        </w:rPr>
        <w:t>项目工期：合同签订后10个月内完成项目实施；</w:t>
      </w:r>
    </w:p>
    <w:p w14:paraId="5C36881B">
      <w:pPr>
        <w:widowControl/>
        <w:numPr>
          <w:ilvl w:val="0"/>
          <w:numId w:val="23"/>
        </w:numPr>
        <w:shd w:val="clear" w:color="auto" w:fill="FFFFFF" w:themeFill="background1"/>
        <w:spacing w:line="360" w:lineRule="auto"/>
        <w:ind w:left="0" w:firstLine="420" w:firstLineChars="200"/>
        <w:jc w:val="left"/>
        <w:rPr>
          <w:rFonts w:ascii="宋体" w:hAnsi="宋体" w:cs="宋体"/>
          <w:color w:val="auto"/>
        </w:rPr>
      </w:pPr>
      <w:r>
        <w:rPr>
          <w:rFonts w:hint="eastAsia" w:ascii="宋体" w:hAnsi="宋体" w:cs="宋体"/>
          <w:color w:val="auto"/>
        </w:rPr>
        <w:t>站点数限制：医院财务会计管理系统、医院</w:t>
      </w:r>
      <w:bookmarkStart w:id="232" w:name="_GoBack"/>
      <w:bookmarkEnd w:id="232"/>
      <w:r>
        <w:rPr>
          <w:rFonts w:hint="eastAsia" w:ascii="宋体" w:hAnsi="宋体" w:cs="宋体"/>
          <w:color w:val="auto"/>
        </w:rPr>
        <w:t>全面预算管理系统、医院智能报账管理系统、医院科室成本管理系统、医疗服务项目成本管理系统、基于项目叠加法的DIP成本管理系统、医院固定资产管理系统，都不允许有站点数限制；</w:t>
      </w:r>
    </w:p>
    <w:p w14:paraId="2CA03FE4">
      <w:pPr>
        <w:widowControl/>
        <w:numPr>
          <w:ilvl w:val="0"/>
          <w:numId w:val="23"/>
        </w:numPr>
        <w:shd w:val="clear" w:color="auto" w:fill="FFFFFF" w:themeFill="background1"/>
        <w:spacing w:line="360" w:lineRule="auto"/>
        <w:ind w:left="0" w:firstLine="420" w:firstLineChars="200"/>
        <w:jc w:val="left"/>
        <w:rPr>
          <w:rFonts w:ascii="宋体" w:hAnsi="宋体" w:cs="宋体"/>
          <w:color w:val="auto"/>
        </w:rPr>
      </w:pPr>
      <w:r>
        <w:rPr>
          <w:rFonts w:hint="eastAsia" w:ascii="宋体" w:hAnsi="宋体" w:cs="宋体"/>
          <w:color w:val="auto"/>
        </w:rPr>
        <w:t>单点登录：医院财务会计管理系统、医院全面预算管理系统、医院智能报账管理系统、医院科室成本管理系统、医疗服务项目成本管理系统、基于项目叠加法的DIP成本管理系统、医院固定资产管理系统，必须统一采用单点登录的方式；</w:t>
      </w:r>
    </w:p>
    <w:p w14:paraId="2AC053B5">
      <w:pPr>
        <w:spacing w:line="360" w:lineRule="auto"/>
        <w:rPr>
          <w:rFonts w:ascii="宋体" w:hAnsi="宋体" w:cs="宋体"/>
          <w:color w:val="auto"/>
        </w:rPr>
      </w:pPr>
    </w:p>
    <w:p w14:paraId="50375449">
      <w:pPr>
        <w:spacing w:line="360" w:lineRule="auto"/>
        <w:ind w:firstLine="441" w:firstLineChars="210"/>
        <w:rPr>
          <w:rFonts w:ascii="宋体" w:hAnsi="宋体" w:cs="宋体"/>
          <w:color w:val="auto"/>
        </w:rPr>
      </w:pPr>
    </w:p>
    <w:bookmarkEnd w:id="28"/>
    <w:bookmarkEnd w:id="56"/>
    <w:p w14:paraId="236E00ED">
      <w:pPr>
        <w:rPr>
          <w:rFonts w:ascii="宋体" w:hAnsi="宋体" w:cs="宋体"/>
          <w:color w:val="auto"/>
        </w:rPr>
      </w:pPr>
    </w:p>
    <w:p w14:paraId="29537266">
      <w:pPr>
        <w:rPr>
          <w:color w:val="auto"/>
        </w:rPr>
      </w:pPr>
    </w:p>
    <w:sectPr>
      <w:footerReference r:id="rId3" w:type="default"/>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Heiti SC Light">
    <w:altName w:val="等线"/>
    <w:panose1 w:val="02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Helv">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imes New Roman (正文 CS 字体)">
    <w:altName w:val="宋体"/>
    <w:panose1 w:val="020B0604020202020204"/>
    <w:charset w:val="00"/>
    <w:family w:val="roman"/>
    <w:pitch w:val="default"/>
    <w:sig w:usb0="00000000" w:usb1="00000000" w:usb2="00000009" w:usb3="00000000" w:csb0="000001FF" w:csb1="00000000"/>
  </w:font>
  <w:font w:name="Times New Roman (标题 CS)">
    <w:altName w:val="Times New Roman"/>
    <w:panose1 w:val="020B06040202020202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9E82">
    <w:pPr>
      <w:pStyle w:val="21"/>
    </w:pPr>
    <w: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-1905</wp:posOffset>
              </wp:positionV>
              <wp:extent cx="276860" cy="192405"/>
              <wp:effectExtent l="0" t="0" r="3175" b="0"/>
              <wp:wrapNone/>
              <wp:docPr id="1" name="文本框 1"/>
              <wp:cNvGraphicFramePr/>
              <a:graphic xmlns:a="http://schemas.openxmlformats.org/drawingml/2006/main">
                <a:graphicData uri="http://schemas.microsoft.com/office/word/2010/wordprocessingShape">
                  <wps:wsp>
                    <wps:cNvSpPr txBox="1"/>
                    <wps:spPr>
                      <a:xfrm>
                        <a:off x="0" y="0"/>
                        <a:ext cx="276625" cy="1921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FE5B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5pt;margin-top:-0.15pt;height:15.15pt;width:21.8pt;mso-position-horizontal-relative:margin;z-index:251659264;mso-width-relative:page;mso-height-relative:page;" filled="f" stroked="f" coordsize="21600,21600" o:gfxdata="UEsDBAoAAAAAAIdO4kAAAAAAAAAAAAAAAAAEAAAAZHJzL1BLAwQUAAAACACHTuJA2jDPsdcAAAAI&#10;AQAADwAAAGRycy9kb3ducmV2LnhtbE2PS0/DMBCE70j8B2uRuLV2aIpoyKYHHjeeBSS4OfGSRMTr&#10;yHbS8u8xJziOZjTzTbk92EHM5EPvGCFbKhDEjTM9twivL7eLCxAhajZ6cEwI3xRgWx0flbowbs/P&#10;NO9iK1IJh0IjdDGOhZSh6cjqsHQjcfI+nbc6Julbabzep3I7yDOlzqXVPaeFTo901VHztZsswvAe&#10;/F2t4sd83d7Hp0c5vd1kD4inJ5m6BBHpEP/C8Iuf0KFKTLWb2AQxIORqvUlRhMUKRPLzfLMGUSOs&#10;lAJZlfL/geoHUEsDBBQAAAAIAIdO4kBiNCZuLwIAAFUEAAAOAAAAZHJzL2Uyb0RvYy54bWytVE2O&#10;0zAU3iNxB8t7mrRoClRNR2WqIqSKGakg1q7jNJZsP2O7TcoB4AasZsOec/UcPDtJBw0sZsHGffH7&#10;/b73ufPrVityFM5LMAUdj3JKhOFQSrMv6KeP6xevKfGBmZIpMKKgJ+Hp9eL5s3ljZ2ICNahSOIJF&#10;jJ81tqB1CHaWZZ7XQjM/AisMOitwmgX8dPusdKzB6lplkzyfZg240jrgwnu8XXVO2ld0TykIVSW5&#10;WAE/aGFCV9UJxQJC8rW0ni7StFUleLitKi8CUQVFpCGd2ATtXTyzxZzN9o7ZWvJ+BPaUER5h0kwa&#10;bHoptWKBkYOTf5XSkjvwUIURB511QBIjiGKcP+JmWzMrEhak2tsL6f7/leUfjneOyBKVQIlhGhd+&#10;/vH9fP/r/PMbGUd6GutnGLW1GBfat9DG0P7e42VE3VZOx1/EQ9CP5J4u5Io2EI6Xk1fT6eSKEo6u&#10;8ZvJOE9Vsodk63x4J0CTaBTU4e4Spey48QEbYugQEnsZWEul0v6UIU1Bpy+v8pRw8WCGMpgYIXSj&#10;Riu0u7affwflCWE56HThLV9LbL5hPtwxh0JAJPhUwi0elQJsAr1FSQ3u67/uYzzuB72UNCisgvov&#10;B+YEJeq9wc1FFQ6GG4zdYJiDvgHUKm4Dp0kmJrigBrNyoD/jC1rGLuhihmOvgobBvAmdvPEFcrFc&#10;piDUmmVhY7aWx9IdfctDgEomZiMtHRc9W6i2RHj/MqKc//xOUQ//B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jDPsdcAAAAIAQAADwAAAAAAAAABACAAAAAiAAAAZHJzL2Rvd25yZXYueG1sUEsB&#10;AhQAFAAAAAgAh07iQGI0Jm4vAgAAVQQAAA4AAAAAAAAAAQAgAAAAJgEAAGRycy9lMm9Eb2MueG1s&#10;UEsFBgAAAAAGAAYAWQEAAMcFAAAAAA==&#10;">
              <v:fill on="f" focussize="0,0"/>
              <v:stroke on="f" weight="0.5pt"/>
              <v:imagedata o:title=""/>
              <o:lock v:ext="edit" aspectratio="f"/>
              <v:textbox inset="0mm,0mm,0mm,0mm">
                <w:txbxContent>
                  <w:p w14:paraId="71BFE5B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53582"/>
    <w:multiLevelType w:val="singleLevel"/>
    <w:tmpl w:val="92353582"/>
    <w:lvl w:ilvl="0" w:tentative="0">
      <w:start w:val="1"/>
      <w:numFmt w:val="decimal"/>
      <w:lvlText w:val="%1."/>
      <w:lvlJc w:val="left"/>
      <w:pPr>
        <w:ind w:left="425" w:hanging="425"/>
      </w:pPr>
      <w:rPr>
        <w:rFonts w:hint="default"/>
      </w:rPr>
    </w:lvl>
  </w:abstractNum>
  <w:abstractNum w:abstractNumId="1">
    <w:nsid w:val="92F3F7F4"/>
    <w:multiLevelType w:val="singleLevel"/>
    <w:tmpl w:val="92F3F7F4"/>
    <w:lvl w:ilvl="0" w:tentative="0">
      <w:start w:val="1"/>
      <w:numFmt w:val="decimal"/>
      <w:lvlText w:val="%1."/>
      <w:lvlJc w:val="left"/>
      <w:pPr>
        <w:ind w:left="425" w:hanging="425"/>
      </w:pPr>
      <w:rPr>
        <w:rFonts w:hint="default"/>
      </w:rPr>
    </w:lvl>
  </w:abstractNum>
  <w:abstractNum w:abstractNumId="2">
    <w:nsid w:val="9DD19A2D"/>
    <w:multiLevelType w:val="singleLevel"/>
    <w:tmpl w:val="9DD19A2D"/>
    <w:lvl w:ilvl="0" w:tentative="0">
      <w:start w:val="1"/>
      <w:numFmt w:val="decimal"/>
      <w:lvlText w:val="%1."/>
      <w:lvlJc w:val="left"/>
      <w:pPr>
        <w:tabs>
          <w:tab w:val="left" w:pos="420"/>
        </w:tabs>
        <w:ind w:left="845" w:hanging="425"/>
      </w:pPr>
      <w:rPr>
        <w:rFonts w:hint="default"/>
      </w:rPr>
    </w:lvl>
  </w:abstractNum>
  <w:abstractNum w:abstractNumId="3">
    <w:nsid w:val="AC8963A8"/>
    <w:multiLevelType w:val="singleLevel"/>
    <w:tmpl w:val="AC8963A8"/>
    <w:lvl w:ilvl="0" w:tentative="0">
      <w:start w:val="1"/>
      <w:numFmt w:val="decimal"/>
      <w:lvlText w:val="%1."/>
      <w:lvlJc w:val="left"/>
      <w:pPr>
        <w:ind w:left="425" w:hanging="425"/>
      </w:pPr>
      <w:rPr>
        <w:rFonts w:hint="default"/>
      </w:rPr>
    </w:lvl>
  </w:abstractNum>
  <w:abstractNum w:abstractNumId="4">
    <w:nsid w:val="C4B6E452"/>
    <w:multiLevelType w:val="singleLevel"/>
    <w:tmpl w:val="C4B6E452"/>
    <w:lvl w:ilvl="0" w:tentative="0">
      <w:start w:val="1"/>
      <w:numFmt w:val="decimal"/>
      <w:lvlText w:val="%1."/>
      <w:lvlJc w:val="left"/>
      <w:pPr>
        <w:ind w:left="425" w:hanging="425"/>
      </w:pPr>
      <w:rPr>
        <w:rFonts w:hint="default"/>
      </w:rPr>
    </w:lvl>
  </w:abstractNum>
  <w:abstractNum w:abstractNumId="5">
    <w:nsid w:val="CABBBCBD"/>
    <w:multiLevelType w:val="singleLevel"/>
    <w:tmpl w:val="CABBBCBD"/>
    <w:lvl w:ilvl="0" w:tentative="0">
      <w:start w:val="1"/>
      <w:numFmt w:val="decimal"/>
      <w:lvlText w:val="%1."/>
      <w:lvlJc w:val="left"/>
      <w:pPr>
        <w:ind w:left="425" w:hanging="425"/>
      </w:pPr>
      <w:rPr>
        <w:rFonts w:hint="default"/>
      </w:rPr>
    </w:lvl>
  </w:abstractNum>
  <w:abstractNum w:abstractNumId="6">
    <w:nsid w:val="FC82A2D4"/>
    <w:multiLevelType w:val="singleLevel"/>
    <w:tmpl w:val="FC82A2D4"/>
    <w:lvl w:ilvl="0" w:tentative="0">
      <w:start w:val="1"/>
      <w:numFmt w:val="decimal"/>
      <w:lvlText w:val="%1."/>
      <w:lvlJc w:val="left"/>
      <w:pPr>
        <w:ind w:left="425" w:hanging="425"/>
      </w:pPr>
      <w:rPr>
        <w:rFonts w:hint="default"/>
      </w:rPr>
    </w:lvl>
  </w:abstractNum>
  <w:abstractNum w:abstractNumId="7">
    <w:nsid w:val="05508E45"/>
    <w:multiLevelType w:val="singleLevel"/>
    <w:tmpl w:val="05508E45"/>
    <w:lvl w:ilvl="0" w:tentative="0">
      <w:start w:val="1"/>
      <w:numFmt w:val="decimal"/>
      <w:lvlText w:val="%1."/>
      <w:lvlJc w:val="left"/>
      <w:pPr>
        <w:ind w:left="425" w:hanging="425"/>
      </w:pPr>
      <w:rPr>
        <w:rFonts w:hint="default"/>
      </w:rPr>
    </w:lvl>
  </w:abstractNum>
  <w:abstractNum w:abstractNumId="8">
    <w:nsid w:val="07020397"/>
    <w:multiLevelType w:val="multilevel"/>
    <w:tmpl w:val="07020397"/>
    <w:lvl w:ilvl="0" w:tentative="0">
      <w:start w:val="1"/>
      <w:numFmt w:val="decimal"/>
      <w:pStyle w:val="89"/>
      <w:lvlText w:val="%1"/>
      <w:lvlJc w:val="left"/>
      <w:pPr>
        <w:ind w:left="425" w:hanging="425"/>
      </w:pPr>
      <w:rPr>
        <w:rFonts w:hint="eastAsia"/>
      </w:rPr>
    </w:lvl>
    <w:lvl w:ilvl="1" w:tentative="0">
      <w:start w:val="1"/>
      <w:numFmt w:val="decimal"/>
      <w:pStyle w:val="90"/>
      <w:lvlText w:val="%1.%2"/>
      <w:lvlJc w:val="left"/>
      <w:pPr>
        <w:ind w:left="0" w:firstLine="0"/>
      </w:pPr>
      <w:rPr>
        <w:rFonts w:hint="eastAsia"/>
      </w:rPr>
    </w:lvl>
    <w:lvl w:ilvl="2" w:tentative="0">
      <w:start w:val="1"/>
      <w:numFmt w:val="decimal"/>
      <w:pStyle w:val="91"/>
      <w:lvlText w:val="%1.%2.%3"/>
      <w:lvlJc w:val="left"/>
      <w:pPr>
        <w:ind w:left="0" w:firstLine="0"/>
      </w:pPr>
      <w:rPr>
        <w:rFonts w:hint="eastAsia"/>
      </w:rPr>
    </w:lvl>
    <w:lvl w:ilvl="3" w:tentative="0">
      <w:start w:val="1"/>
      <w:numFmt w:val="decimal"/>
      <w:pStyle w:val="92"/>
      <w:lvlText w:val="%1.%2.%3.%4"/>
      <w:lvlJc w:val="left"/>
      <w:pPr>
        <w:ind w:left="0" w:firstLine="0"/>
      </w:pPr>
      <w:rPr>
        <w:rFonts w:hint="eastAsia"/>
      </w:rPr>
    </w:lvl>
    <w:lvl w:ilvl="4" w:tentative="0">
      <w:start w:val="1"/>
      <w:numFmt w:val="decimal"/>
      <w:pStyle w:val="93"/>
      <w:lvlText w:val="%1.%2.%3.%4.%5"/>
      <w:lvlJc w:val="left"/>
      <w:pPr>
        <w:ind w:left="0" w:firstLine="0"/>
      </w:pPr>
      <w:rPr>
        <w:rFonts w:hint="eastAsia"/>
      </w:rPr>
    </w:lvl>
    <w:lvl w:ilvl="5" w:tentative="0">
      <w:start w:val="1"/>
      <w:numFmt w:val="decimal"/>
      <w:pStyle w:val="94"/>
      <w:lvlText w:val="%1.%2.%3.%4.%5.%6"/>
      <w:lvlJc w:val="left"/>
      <w:pPr>
        <w:ind w:left="0" w:firstLine="0"/>
      </w:pPr>
      <w:rPr>
        <w:rFonts w:hint="eastAsia"/>
      </w:rPr>
    </w:lvl>
    <w:lvl w:ilvl="6" w:tentative="0">
      <w:start w:val="1"/>
      <w:numFmt w:val="decimal"/>
      <w:pStyle w:val="95"/>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F536696"/>
    <w:multiLevelType w:val="singleLevel"/>
    <w:tmpl w:val="0F536696"/>
    <w:lvl w:ilvl="0" w:tentative="0">
      <w:start w:val="1"/>
      <w:numFmt w:val="decimal"/>
      <w:lvlText w:val="%1."/>
      <w:lvlJc w:val="left"/>
      <w:pPr>
        <w:ind w:left="425" w:hanging="425"/>
      </w:pPr>
      <w:rPr>
        <w:rFonts w:hint="default"/>
      </w:rPr>
    </w:lvl>
  </w:abstractNum>
  <w:abstractNum w:abstractNumId="10">
    <w:nsid w:val="1C2A22FA"/>
    <w:multiLevelType w:val="multilevel"/>
    <w:tmpl w:val="1C2A22FA"/>
    <w:lvl w:ilvl="0" w:tentative="0">
      <w:start w:val="1"/>
      <w:numFmt w:val="chineseCountingThousand"/>
      <w:lvlText w:val="%1、"/>
      <w:lvlJc w:val="left"/>
      <w:pPr>
        <w:tabs>
          <w:tab w:val="left" w:pos="432"/>
        </w:tabs>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F59F9CF"/>
    <w:multiLevelType w:val="singleLevel"/>
    <w:tmpl w:val="1F59F9CF"/>
    <w:lvl w:ilvl="0" w:tentative="0">
      <w:start w:val="1"/>
      <w:numFmt w:val="decimal"/>
      <w:lvlText w:val="%1."/>
      <w:lvlJc w:val="left"/>
      <w:pPr>
        <w:ind w:left="425" w:hanging="425"/>
      </w:pPr>
      <w:rPr>
        <w:rFonts w:hint="default"/>
      </w:rPr>
    </w:lvl>
  </w:abstractNum>
  <w:abstractNum w:abstractNumId="12">
    <w:nsid w:val="22F07763"/>
    <w:multiLevelType w:val="multilevel"/>
    <w:tmpl w:val="22F077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735578E"/>
    <w:multiLevelType w:val="singleLevel"/>
    <w:tmpl w:val="2735578E"/>
    <w:lvl w:ilvl="0" w:tentative="0">
      <w:start w:val="1"/>
      <w:numFmt w:val="decimal"/>
      <w:lvlText w:val="%1."/>
      <w:lvlJc w:val="left"/>
      <w:pPr>
        <w:ind w:left="425" w:hanging="425"/>
      </w:pPr>
      <w:rPr>
        <w:rFonts w:hint="default"/>
      </w:rPr>
    </w:lvl>
  </w:abstractNum>
  <w:abstractNum w:abstractNumId="14">
    <w:nsid w:val="30EA6FF3"/>
    <w:multiLevelType w:val="singleLevel"/>
    <w:tmpl w:val="30EA6FF3"/>
    <w:lvl w:ilvl="0" w:tentative="0">
      <w:start w:val="1"/>
      <w:numFmt w:val="decimal"/>
      <w:lvlText w:val="%1."/>
      <w:lvlJc w:val="left"/>
      <w:pPr>
        <w:ind w:left="425" w:hanging="425"/>
      </w:pPr>
      <w:rPr>
        <w:rFonts w:hint="default"/>
      </w:rPr>
    </w:lvl>
  </w:abstractNum>
  <w:abstractNum w:abstractNumId="15">
    <w:nsid w:val="41A643F8"/>
    <w:multiLevelType w:val="multilevel"/>
    <w:tmpl w:val="41A643F8"/>
    <w:lvl w:ilvl="0" w:tentative="0">
      <w:start w:val="1"/>
      <w:numFmt w:val="chineseCountingThousand"/>
      <w:pStyle w:val="2"/>
      <w:lvlText w:val="%1、"/>
      <w:lvlJc w:val="left"/>
      <w:pPr>
        <w:tabs>
          <w:tab w:val="left" w:pos="432"/>
        </w:tabs>
        <w:ind w:left="432"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rPr>
    </w:lvl>
    <w:lvl w:ilvl="4" w:tentative="0">
      <w:start w:val="1"/>
      <w:numFmt w:val="decimal"/>
      <w:pStyle w:val="6"/>
      <w:isLgl/>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6">
    <w:nsid w:val="4D5F75AC"/>
    <w:multiLevelType w:val="singleLevel"/>
    <w:tmpl w:val="4D5F75AC"/>
    <w:lvl w:ilvl="0" w:tentative="0">
      <w:start w:val="1"/>
      <w:numFmt w:val="decimal"/>
      <w:lvlText w:val="%1."/>
      <w:lvlJc w:val="left"/>
      <w:pPr>
        <w:ind w:left="425" w:hanging="425"/>
      </w:pPr>
      <w:rPr>
        <w:rFonts w:hint="default"/>
      </w:rPr>
    </w:lvl>
  </w:abstractNum>
  <w:abstractNum w:abstractNumId="17">
    <w:nsid w:val="59F29F89"/>
    <w:multiLevelType w:val="singleLevel"/>
    <w:tmpl w:val="59F29F89"/>
    <w:lvl w:ilvl="0" w:tentative="0">
      <w:start w:val="1"/>
      <w:numFmt w:val="decimal"/>
      <w:suff w:val="nothing"/>
      <w:lvlText w:val="%1"/>
      <w:lvlJc w:val="left"/>
      <w:pPr>
        <w:ind w:left="0" w:firstLine="403"/>
      </w:pPr>
      <w:rPr>
        <w:rFonts w:hint="default"/>
      </w:rPr>
    </w:lvl>
  </w:abstractNum>
  <w:abstractNum w:abstractNumId="18">
    <w:nsid w:val="6F027B82"/>
    <w:multiLevelType w:val="multilevel"/>
    <w:tmpl w:val="6F027B82"/>
    <w:lvl w:ilvl="0" w:tentative="0">
      <w:start w:val="1"/>
      <w:numFmt w:val="chineseCountingThousand"/>
      <w:lvlText w:val="%1、"/>
      <w:lvlJc w:val="left"/>
      <w:pPr>
        <w:tabs>
          <w:tab w:val="left" w:pos="432"/>
        </w:tabs>
        <w:ind w:left="432" w:hanging="432"/>
      </w:pPr>
      <w:rPr>
        <w:rFonts w:hint="eastAsia"/>
      </w:rPr>
    </w:lvl>
    <w:lvl w:ilvl="1" w:tentative="0">
      <w:start w:val="1"/>
      <w:numFmt w:val="decimal"/>
      <w:lvlText w:val="%2."/>
      <w:lvlJc w:val="left"/>
      <w:pPr>
        <w:ind w:left="576" w:hanging="576"/>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72DDB6D3"/>
    <w:multiLevelType w:val="singleLevel"/>
    <w:tmpl w:val="72DDB6D3"/>
    <w:lvl w:ilvl="0" w:tentative="0">
      <w:start w:val="1"/>
      <w:numFmt w:val="decimal"/>
      <w:lvlText w:val="%1."/>
      <w:lvlJc w:val="left"/>
      <w:pPr>
        <w:ind w:left="425" w:hanging="425"/>
      </w:pPr>
      <w:rPr>
        <w:rFonts w:hint="default"/>
      </w:rPr>
    </w:lvl>
  </w:abstractNum>
  <w:abstractNum w:abstractNumId="20">
    <w:nsid w:val="76FD1C22"/>
    <w:multiLevelType w:val="singleLevel"/>
    <w:tmpl w:val="76FD1C22"/>
    <w:lvl w:ilvl="0" w:tentative="0">
      <w:start w:val="1"/>
      <w:numFmt w:val="decimal"/>
      <w:lvlText w:val="%1."/>
      <w:lvlJc w:val="left"/>
      <w:pPr>
        <w:tabs>
          <w:tab w:val="left" w:pos="420"/>
        </w:tabs>
        <w:ind w:left="845" w:hanging="425"/>
      </w:pPr>
      <w:rPr>
        <w:rFonts w:hint="default"/>
      </w:rPr>
    </w:lvl>
  </w:abstractNum>
  <w:abstractNum w:abstractNumId="21">
    <w:nsid w:val="79A17ADF"/>
    <w:multiLevelType w:val="multilevel"/>
    <w:tmpl w:val="79A17AD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4"/>
      <w:lvlText w:val="%1.%2.%3."/>
      <w:lvlJc w:val="left"/>
      <w:rPr>
        <w:b w:val="0"/>
        <w:bCs w:val="0"/>
        <w:i w:val="0"/>
        <w:iCs w:val="0"/>
        <w:caps w:val="0"/>
        <w:smallCaps w:val="0"/>
        <w:strike w:val="0"/>
        <w:dstrike w:val="0"/>
        <w:outline w:val="0"/>
        <w:shadow w:val="0"/>
        <w:emboss w:val="0"/>
        <w:imprint w:val="0"/>
        <w:vanish w:val="0"/>
        <w:spacing w:val="0"/>
        <w:position w:val="0"/>
        <w:u w:val="none"/>
        <w:vertAlign w:val="baseline"/>
        <w:lang w:bidi="zh-C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7B717AE7"/>
    <w:multiLevelType w:val="singleLevel"/>
    <w:tmpl w:val="7B717AE7"/>
    <w:lvl w:ilvl="0" w:tentative="0">
      <w:start w:val="1"/>
      <w:numFmt w:val="decimal"/>
      <w:lvlText w:val="%1."/>
      <w:lvlJc w:val="left"/>
      <w:pPr>
        <w:tabs>
          <w:tab w:val="left" w:pos="420"/>
        </w:tabs>
        <w:ind w:left="845" w:hanging="425"/>
      </w:pPr>
      <w:rPr>
        <w:rFonts w:hint="default"/>
      </w:rPr>
    </w:lvl>
  </w:abstractNum>
  <w:num w:numId="1">
    <w:abstractNumId w:val="15"/>
  </w:num>
  <w:num w:numId="2">
    <w:abstractNumId w:val="21"/>
  </w:num>
  <w:num w:numId="3">
    <w:abstractNumId w:val="8"/>
  </w:num>
  <w:num w:numId="4">
    <w:abstractNumId w:val="10"/>
  </w:num>
  <w:num w:numId="5">
    <w:abstractNumId w:val="17"/>
  </w:num>
  <w:num w:numId="6">
    <w:abstractNumId w:val="0"/>
  </w:num>
  <w:num w:numId="7">
    <w:abstractNumId w:val="4"/>
  </w:num>
  <w:num w:numId="8">
    <w:abstractNumId w:val="20"/>
  </w:num>
  <w:num w:numId="9">
    <w:abstractNumId w:val="18"/>
  </w:num>
  <w:num w:numId="10">
    <w:abstractNumId w:val="22"/>
  </w:num>
  <w:num w:numId="11">
    <w:abstractNumId w:val="2"/>
  </w:num>
  <w:num w:numId="12">
    <w:abstractNumId w:val="13"/>
  </w:num>
  <w:num w:numId="13">
    <w:abstractNumId w:val="1"/>
  </w:num>
  <w:num w:numId="14">
    <w:abstractNumId w:val="14"/>
  </w:num>
  <w:num w:numId="15">
    <w:abstractNumId w:val="6"/>
  </w:num>
  <w:num w:numId="16">
    <w:abstractNumId w:val="3"/>
  </w:num>
  <w:num w:numId="17">
    <w:abstractNumId w:val="19"/>
  </w:num>
  <w:num w:numId="18">
    <w:abstractNumId w:val="5"/>
  </w:num>
  <w:num w:numId="19">
    <w:abstractNumId w:val="16"/>
  </w:num>
  <w:num w:numId="20">
    <w:abstractNumId w:val="7"/>
  </w:num>
  <w:num w:numId="21">
    <w:abstractNumId w:val="11"/>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wNzFlYjE3NzEwMzgzYjRlYTMwN2NlODZjNzE5YTIifQ=="/>
  </w:docVars>
  <w:rsids>
    <w:rsidRoot w:val="00F478DB"/>
    <w:rsid w:val="00001547"/>
    <w:rsid w:val="00020C5C"/>
    <w:rsid w:val="000329BD"/>
    <w:rsid w:val="0004148A"/>
    <w:rsid w:val="00062097"/>
    <w:rsid w:val="00062670"/>
    <w:rsid w:val="0006642C"/>
    <w:rsid w:val="00075517"/>
    <w:rsid w:val="00075D4F"/>
    <w:rsid w:val="000935C0"/>
    <w:rsid w:val="000C6B2B"/>
    <w:rsid w:val="000E57AF"/>
    <w:rsid w:val="001118C4"/>
    <w:rsid w:val="0011496F"/>
    <w:rsid w:val="001156B9"/>
    <w:rsid w:val="0012335E"/>
    <w:rsid w:val="00126E2D"/>
    <w:rsid w:val="00130A86"/>
    <w:rsid w:val="00135D6B"/>
    <w:rsid w:val="00150F78"/>
    <w:rsid w:val="001605C0"/>
    <w:rsid w:val="001810BC"/>
    <w:rsid w:val="00193AA7"/>
    <w:rsid w:val="001D289D"/>
    <w:rsid w:val="001D5AA7"/>
    <w:rsid w:val="00220C1F"/>
    <w:rsid w:val="00224E38"/>
    <w:rsid w:val="00230FB7"/>
    <w:rsid w:val="002319F5"/>
    <w:rsid w:val="00231ED7"/>
    <w:rsid w:val="00234A4F"/>
    <w:rsid w:val="00236019"/>
    <w:rsid w:val="002457D3"/>
    <w:rsid w:val="0025368A"/>
    <w:rsid w:val="00255A61"/>
    <w:rsid w:val="00261C9D"/>
    <w:rsid w:val="00284537"/>
    <w:rsid w:val="002A4411"/>
    <w:rsid w:val="002B38D1"/>
    <w:rsid w:val="002B661C"/>
    <w:rsid w:val="002C1207"/>
    <w:rsid w:val="002E0AF2"/>
    <w:rsid w:val="0031284C"/>
    <w:rsid w:val="00325FBE"/>
    <w:rsid w:val="0033452E"/>
    <w:rsid w:val="003349C5"/>
    <w:rsid w:val="0034022A"/>
    <w:rsid w:val="00340662"/>
    <w:rsid w:val="00352A9B"/>
    <w:rsid w:val="00354224"/>
    <w:rsid w:val="00364017"/>
    <w:rsid w:val="003828A4"/>
    <w:rsid w:val="003851CB"/>
    <w:rsid w:val="00385839"/>
    <w:rsid w:val="003A65A3"/>
    <w:rsid w:val="003B29C5"/>
    <w:rsid w:val="003B36F8"/>
    <w:rsid w:val="003C4FEF"/>
    <w:rsid w:val="003D39E8"/>
    <w:rsid w:val="003D3AB9"/>
    <w:rsid w:val="003E4A84"/>
    <w:rsid w:val="003E58C2"/>
    <w:rsid w:val="004001E2"/>
    <w:rsid w:val="00425B5E"/>
    <w:rsid w:val="00443EB4"/>
    <w:rsid w:val="004463A9"/>
    <w:rsid w:val="00447DEA"/>
    <w:rsid w:val="0045158D"/>
    <w:rsid w:val="00454F46"/>
    <w:rsid w:val="00473A81"/>
    <w:rsid w:val="00477513"/>
    <w:rsid w:val="00485D08"/>
    <w:rsid w:val="004A2998"/>
    <w:rsid w:val="004A66A8"/>
    <w:rsid w:val="004A7175"/>
    <w:rsid w:val="004B29AA"/>
    <w:rsid w:val="004B429D"/>
    <w:rsid w:val="004B5D8B"/>
    <w:rsid w:val="004C63E8"/>
    <w:rsid w:val="004C6C1E"/>
    <w:rsid w:val="004D0FEF"/>
    <w:rsid w:val="004D104E"/>
    <w:rsid w:val="004D1A98"/>
    <w:rsid w:val="004F420F"/>
    <w:rsid w:val="005167E3"/>
    <w:rsid w:val="00517860"/>
    <w:rsid w:val="0052141D"/>
    <w:rsid w:val="00526838"/>
    <w:rsid w:val="005316A4"/>
    <w:rsid w:val="005334F5"/>
    <w:rsid w:val="00546FBA"/>
    <w:rsid w:val="00567759"/>
    <w:rsid w:val="00570AFF"/>
    <w:rsid w:val="00572169"/>
    <w:rsid w:val="00583EEB"/>
    <w:rsid w:val="00587996"/>
    <w:rsid w:val="00592751"/>
    <w:rsid w:val="0059660D"/>
    <w:rsid w:val="005A29C0"/>
    <w:rsid w:val="005A2BB9"/>
    <w:rsid w:val="005A646C"/>
    <w:rsid w:val="005B5C77"/>
    <w:rsid w:val="005C6C6C"/>
    <w:rsid w:val="005C6D7D"/>
    <w:rsid w:val="005D0015"/>
    <w:rsid w:val="005D312F"/>
    <w:rsid w:val="005D4AE1"/>
    <w:rsid w:val="005E10B0"/>
    <w:rsid w:val="005F2E95"/>
    <w:rsid w:val="00601BDD"/>
    <w:rsid w:val="00603EBA"/>
    <w:rsid w:val="00620700"/>
    <w:rsid w:val="00630F36"/>
    <w:rsid w:val="00637107"/>
    <w:rsid w:val="006543A3"/>
    <w:rsid w:val="0065641E"/>
    <w:rsid w:val="00663460"/>
    <w:rsid w:val="00664A56"/>
    <w:rsid w:val="00666095"/>
    <w:rsid w:val="00692561"/>
    <w:rsid w:val="006A0D0B"/>
    <w:rsid w:val="006A115C"/>
    <w:rsid w:val="006A2620"/>
    <w:rsid w:val="0070175E"/>
    <w:rsid w:val="00701ECB"/>
    <w:rsid w:val="00707047"/>
    <w:rsid w:val="00712A38"/>
    <w:rsid w:val="00714F90"/>
    <w:rsid w:val="00734A46"/>
    <w:rsid w:val="00740A25"/>
    <w:rsid w:val="00744A90"/>
    <w:rsid w:val="00750F93"/>
    <w:rsid w:val="0075146B"/>
    <w:rsid w:val="007517EF"/>
    <w:rsid w:val="00763A03"/>
    <w:rsid w:val="00770132"/>
    <w:rsid w:val="0077377C"/>
    <w:rsid w:val="00782CAF"/>
    <w:rsid w:val="00790CA6"/>
    <w:rsid w:val="007A796E"/>
    <w:rsid w:val="007B58AC"/>
    <w:rsid w:val="007C1626"/>
    <w:rsid w:val="007C2D5D"/>
    <w:rsid w:val="007C6526"/>
    <w:rsid w:val="007D1114"/>
    <w:rsid w:val="007D37AE"/>
    <w:rsid w:val="007D5DFE"/>
    <w:rsid w:val="007D7BDC"/>
    <w:rsid w:val="007E5930"/>
    <w:rsid w:val="007F0E37"/>
    <w:rsid w:val="007F15C2"/>
    <w:rsid w:val="00826106"/>
    <w:rsid w:val="0083237C"/>
    <w:rsid w:val="00851614"/>
    <w:rsid w:val="008835B1"/>
    <w:rsid w:val="00891BB8"/>
    <w:rsid w:val="008B5312"/>
    <w:rsid w:val="008C6A1A"/>
    <w:rsid w:val="008D21AC"/>
    <w:rsid w:val="008F2DE6"/>
    <w:rsid w:val="008F4039"/>
    <w:rsid w:val="008F48D6"/>
    <w:rsid w:val="00900945"/>
    <w:rsid w:val="00904C3B"/>
    <w:rsid w:val="009325C8"/>
    <w:rsid w:val="0094477B"/>
    <w:rsid w:val="009465A8"/>
    <w:rsid w:val="00947748"/>
    <w:rsid w:val="00947834"/>
    <w:rsid w:val="009714DE"/>
    <w:rsid w:val="00973E1B"/>
    <w:rsid w:val="009759EE"/>
    <w:rsid w:val="00986355"/>
    <w:rsid w:val="0099032D"/>
    <w:rsid w:val="009B3C52"/>
    <w:rsid w:val="009B700E"/>
    <w:rsid w:val="009C27D5"/>
    <w:rsid w:val="009E3016"/>
    <w:rsid w:val="009F572A"/>
    <w:rsid w:val="00A0741F"/>
    <w:rsid w:val="00A12820"/>
    <w:rsid w:val="00A16938"/>
    <w:rsid w:val="00A24007"/>
    <w:rsid w:val="00A24AA5"/>
    <w:rsid w:val="00A34C41"/>
    <w:rsid w:val="00A52C08"/>
    <w:rsid w:val="00A53F19"/>
    <w:rsid w:val="00A55164"/>
    <w:rsid w:val="00A57528"/>
    <w:rsid w:val="00A57A98"/>
    <w:rsid w:val="00A809E9"/>
    <w:rsid w:val="00AA3519"/>
    <w:rsid w:val="00AB750A"/>
    <w:rsid w:val="00AD13AB"/>
    <w:rsid w:val="00AD4AD8"/>
    <w:rsid w:val="00AE1D63"/>
    <w:rsid w:val="00AE3B5C"/>
    <w:rsid w:val="00AE5CBE"/>
    <w:rsid w:val="00AE6764"/>
    <w:rsid w:val="00AF538C"/>
    <w:rsid w:val="00B01E9B"/>
    <w:rsid w:val="00B12E25"/>
    <w:rsid w:val="00B2373E"/>
    <w:rsid w:val="00B34782"/>
    <w:rsid w:val="00B36621"/>
    <w:rsid w:val="00B36807"/>
    <w:rsid w:val="00B502A8"/>
    <w:rsid w:val="00B5217D"/>
    <w:rsid w:val="00B645D8"/>
    <w:rsid w:val="00B729DA"/>
    <w:rsid w:val="00B95A18"/>
    <w:rsid w:val="00B970D8"/>
    <w:rsid w:val="00BA7BDF"/>
    <w:rsid w:val="00BB5C3F"/>
    <w:rsid w:val="00BB68AF"/>
    <w:rsid w:val="00BB69D5"/>
    <w:rsid w:val="00BB7D70"/>
    <w:rsid w:val="00BC4CF2"/>
    <w:rsid w:val="00BE5A6F"/>
    <w:rsid w:val="00BF3DD1"/>
    <w:rsid w:val="00BF7406"/>
    <w:rsid w:val="00C11FE0"/>
    <w:rsid w:val="00C21628"/>
    <w:rsid w:val="00C30476"/>
    <w:rsid w:val="00C3074A"/>
    <w:rsid w:val="00C33EC4"/>
    <w:rsid w:val="00CA4EAF"/>
    <w:rsid w:val="00CA5ACB"/>
    <w:rsid w:val="00CC6EDC"/>
    <w:rsid w:val="00CC7BA2"/>
    <w:rsid w:val="00CD0D70"/>
    <w:rsid w:val="00CE2A3C"/>
    <w:rsid w:val="00CE4276"/>
    <w:rsid w:val="00CF1618"/>
    <w:rsid w:val="00CF5614"/>
    <w:rsid w:val="00D0038C"/>
    <w:rsid w:val="00D07765"/>
    <w:rsid w:val="00D1009C"/>
    <w:rsid w:val="00D105AE"/>
    <w:rsid w:val="00D22650"/>
    <w:rsid w:val="00D23016"/>
    <w:rsid w:val="00D26434"/>
    <w:rsid w:val="00D26914"/>
    <w:rsid w:val="00D41C09"/>
    <w:rsid w:val="00D44A22"/>
    <w:rsid w:val="00D45D5F"/>
    <w:rsid w:val="00D61B37"/>
    <w:rsid w:val="00D6356D"/>
    <w:rsid w:val="00D83B85"/>
    <w:rsid w:val="00D92D9B"/>
    <w:rsid w:val="00DA23A3"/>
    <w:rsid w:val="00DB2931"/>
    <w:rsid w:val="00DB4ECC"/>
    <w:rsid w:val="00DB7EDE"/>
    <w:rsid w:val="00DC0801"/>
    <w:rsid w:val="00DE26ED"/>
    <w:rsid w:val="00DE6831"/>
    <w:rsid w:val="00DF2E38"/>
    <w:rsid w:val="00E03D03"/>
    <w:rsid w:val="00E165A2"/>
    <w:rsid w:val="00E23D76"/>
    <w:rsid w:val="00E25CCF"/>
    <w:rsid w:val="00E31EFD"/>
    <w:rsid w:val="00E3242D"/>
    <w:rsid w:val="00E51D3F"/>
    <w:rsid w:val="00E569F7"/>
    <w:rsid w:val="00E615FE"/>
    <w:rsid w:val="00E64B62"/>
    <w:rsid w:val="00E6688E"/>
    <w:rsid w:val="00E71903"/>
    <w:rsid w:val="00E72BCC"/>
    <w:rsid w:val="00E97330"/>
    <w:rsid w:val="00EA20A9"/>
    <w:rsid w:val="00EA3EF3"/>
    <w:rsid w:val="00EA7920"/>
    <w:rsid w:val="00EB269A"/>
    <w:rsid w:val="00EB4DE9"/>
    <w:rsid w:val="00ED3A8F"/>
    <w:rsid w:val="00F0059A"/>
    <w:rsid w:val="00F06671"/>
    <w:rsid w:val="00F2176B"/>
    <w:rsid w:val="00F23627"/>
    <w:rsid w:val="00F25671"/>
    <w:rsid w:val="00F3540E"/>
    <w:rsid w:val="00F478DB"/>
    <w:rsid w:val="00F73FAA"/>
    <w:rsid w:val="00F77534"/>
    <w:rsid w:val="00F918E4"/>
    <w:rsid w:val="00FA148C"/>
    <w:rsid w:val="00FB0F97"/>
    <w:rsid w:val="00FC114D"/>
    <w:rsid w:val="00FD2ED1"/>
    <w:rsid w:val="00FF40B3"/>
    <w:rsid w:val="00FF4495"/>
    <w:rsid w:val="02455732"/>
    <w:rsid w:val="02581622"/>
    <w:rsid w:val="03457CFC"/>
    <w:rsid w:val="0382376A"/>
    <w:rsid w:val="03E92A9B"/>
    <w:rsid w:val="04C854C9"/>
    <w:rsid w:val="050B48D4"/>
    <w:rsid w:val="05124D03"/>
    <w:rsid w:val="05E95B95"/>
    <w:rsid w:val="060608C9"/>
    <w:rsid w:val="08615546"/>
    <w:rsid w:val="08D34E83"/>
    <w:rsid w:val="0A4C6966"/>
    <w:rsid w:val="0A762E91"/>
    <w:rsid w:val="0B8347B1"/>
    <w:rsid w:val="0BEA78FC"/>
    <w:rsid w:val="0CB37A36"/>
    <w:rsid w:val="0E6C21F1"/>
    <w:rsid w:val="0E9A2821"/>
    <w:rsid w:val="0F5613B9"/>
    <w:rsid w:val="0F656FCE"/>
    <w:rsid w:val="101007E8"/>
    <w:rsid w:val="10412355"/>
    <w:rsid w:val="111C5E30"/>
    <w:rsid w:val="111D5BA4"/>
    <w:rsid w:val="11894D57"/>
    <w:rsid w:val="12425214"/>
    <w:rsid w:val="137A41EE"/>
    <w:rsid w:val="1396406E"/>
    <w:rsid w:val="13DE3FED"/>
    <w:rsid w:val="14842357"/>
    <w:rsid w:val="14ED1FA1"/>
    <w:rsid w:val="151C53A4"/>
    <w:rsid w:val="1546076A"/>
    <w:rsid w:val="15573E9F"/>
    <w:rsid w:val="15D15A2D"/>
    <w:rsid w:val="15D44342"/>
    <w:rsid w:val="167C16F4"/>
    <w:rsid w:val="17497549"/>
    <w:rsid w:val="175B22A1"/>
    <w:rsid w:val="17936E30"/>
    <w:rsid w:val="17C252A3"/>
    <w:rsid w:val="17F324D4"/>
    <w:rsid w:val="18390581"/>
    <w:rsid w:val="18CD794E"/>
    <w:rsid w:val="1962795C"/>
    <w:rsid w:val="196D41DC"/>
    <w:rsid w:val="1AA96B75"/>
    <w:rsid w:val="1AF702AD"/>
    <w:rsid w:val="1B6A170F"/>
    <w:rsid w:val="1F531512"/>
    <w:rsid w:val="21440EE5"/>
    <w:rsid w:val="218855E2"/>
    <w:rsid w:val="222C6A4C"/>
    <w:rsid w:val="2247234A"/>
    <w:rsid w:val="232F115E"/>
    <w:rsid w:val="23370E37"/>
    <w:rsid w:val="23600ECE"/>
    <w:rsid w:val="23A91FE1"/>
    <w:rsid w:val="23F15713"/>
    <w:rsid w:val="24B43F63"/>
    <w:rsid w:val="24C84B00"/>
    <w:rsid w:val="26176E7E"/>
    <w:rsid w:val="26647EEA"/>
    <w:rsid w:val="26EB3E67"/>
    <w:rsid w:val="27485BE0"/>
    <w:rsid w:val="2B9E535F"/>
    <w:rsid w:val="2BD60DC7"/>
    <w:rsid w:val="2CC92A73"/>
    <w:rsid w:val="2E260406"/>
    <w:rsid w:val="2E6B41EB"/>
    <w:rsid w:val="2EB85CC9"/>
    <w:rsid w:val="2F310B14"/>
    <w:rsid w:val="2F742743"/>
    <w:rsid w:val="301E15CC"/>
    <w:rsid w:val="30DD666B"/>
    <w:rsid w:val="324A4137"/>
    <w:rsid w:val="331D498D"/>
    <w:rsid w:val="332279B0"/>
    <w:rsid w:val="337262DB"/>
    <w:rsid w:val="33EB5F1E"/>
    <w:rsid w:val="343C757D"/>
    <w:rsid w:val="349A423A"/>
    <w:rsid w:val="34B73238"/>
    <w:rsid w:val="34F671ED"/>
    <w:rsid w:val="35414D61"/>
    <w:rsid w:val="370B2F22"/>
    <w:rsid w:val="395704F4"/>
    <w:rsid w:val="3984056E"/>
    <w:rsid w:val="3AAE3255"/>
    <w:rsid w:val="3AB65EB9"/>
    <w:rsid w:val="3B664A9F"/>
    <w:rsid w:val="3C004C2C"/>
    <w:rsid w:val="3CC11B72"/>
    <w:rsid w:val="3CD231BF"/>
    <w:rsid w:val="3D5358FA"/>
    <w:rsid w:val="3E103BF5"/>
    <w:rsid w:val="3F3C4BA5"/>
    <w:rsid w:val="425176AA"/>
    <w:rsid w:val="43B20E6E"/>
    <w:rsid w:val="4439417A"/>
    <w:rsid w:val="45294080"/>
    <w:rsid w:val="45FD79E7"/>
    <w:rsid w:val="464B1A59"/>
    <w:rsid w:val="46573112"/>
    <w:rsid w:val="46CE6E39"/>
    <w:rsid w:val="47173E1C"/>
    <w:rsid w:val="47634668"/>
    <w:rsid w:val="477104AA"/>
    <w:rsid w:val="48362F8A"/>
    <w:rsid w:val="4868522C"/>
    <w:rsid w:val="48EA5B3A"/>
    <w:rsid w:val="495436CF"/>
    <w:rsid w:val="4C157CF0"/>
    <w:rsid w:val="4CB2634B"/>
    <w:rsid w:val="4F3F5298"/>
    <w:rsid w:val="4F512ED0"/>
    <w:rsid w:val="50DC0353"/>
    <w:rsid w:val="51D80ECB"/>
    <w:rsid w:val="52C83BDD"/>
    <w:rsid w:val="53A35D07"/>
    <w:rsid w:val="53C0271A"/>
    <w:rsid w:val="53FC4B59"/>
    <w:rsid w:val="541E7E43"/>
    <w:rsid w:val="542B45EC"/>
    <w:rsid w:val="54D83BF4"/>
    <w:rsid w:val="54EB3954"/>
    <w:rsid w:val="55514205"/>
    <w:rsid w:val="572B2E52"/>
    <w:rsid w:val="57685C5F"/>
    <w:rsid w:val="577240E4"/>
    <w:rsid w:val="57CD1810"/>
    <w:rsid w:val="58574E27"/>
    <w:rsid w:val="5A0B6E97"/>
    <w:rsid w:val="5A1E67AC"/>
    <w:rsid w:val="5A266773"/>
    <w:rsid w:val="5A6F72AF"/>
    <w:rsid w:val="5A763F4F"/>
    <w:rsid w:val="5B07122B"/>
    <w:rsid w:val="5B6A6DB5"/>
    <w:rsid w:val="5B9276E9"/>
    <w:rsid w:val="5BDA4A2C"/>
    <w:rsid w:val="5BDD5E8C"/>
    <w:rsid w:val="5BE444A8"/>
    <w:rsid w:val="5C0F1DCA"/>
    <w:rsid w:val="5CD12BA4"/>
    <w:rsid w:val="5E1E00A2"/>
    <w:rsid w:val="5EB05E66"/>
    <w:rsid w:val="5F145E30"/>
    <w:rsid w:val="5F7B2EF2"/>
    <w:rsid w:val="5FD21DDD"/>
    <w:rsid w:val="6149311D"/>
    <w:rsid w:val="61980EBF"/>
    <w:rsid w:val="627E052B"/>
    <w:rsid w:val="631E6FCC"/>
    <w:rsid w:val="64B75987"/>
    <w:rsid w:val="64D56C32"/>
    <w:rsid w:val="64EF1B2E"/>
    <w:rsid w:val="64EF2799"/>
    <w:rsid w:val="651574BC"/>
    <w:rsid w:val="65D90F95"/>
    <w:rsid w:val="660E50BE"/>
    <w:rsid w:val="675936AA"/>
    <w:rsid w:val="68F72D33"/>
    <w:rsid w:val="6915689E"/>
    <w:rsid w:val="694D2EA5"/>
    <w:rsid w:val="6A94409C"/>
    <w:rsid w:val="6B144D07"/>
    <w:rsid w:val="6B8406BF"/>
    <w:rsid w:val="6C780798"/>
    <w:rsid w:val="6CE50546"/>
    <w:rsid w:val="6D0F64F8"/>
    <w:rsid w:val="6E9E4F2C"/>
    <w:rsid w:val="6F3E6DB1"/>
    <w:rsid w:val="70016842"/>
    <w:rsid w:val="700B3020"/>
    <w:rsid w:val="705A6525"/>
    <w:rsid w:val="7063133E"/>
    <w:rsid w:val="722F71DC"/>
    <w:rsid w:val="72732416"/>
    <w:rsid w:val="728C14A4"/>
    <w:rsid w:val="73373C88"/>
    <w:rsid w:val="735B6B59"/>
    <w:rsid w:val="739649E1"/>
    <w:rsid w:val="74233576"/>
    <w:rsid w:val="743316B1"/>
    <w:rsid w:val="749A5137"/>
    <w:rsid w:val="74FD7CFC"/>
    <w:rsid w:val="76195B9E"/>
    <w:rsid w:val="77100A78"/>
    <w:rsid w:val="786668C7"/>
    <w:rsid w:val="78761E73"/>
    <w:rsid w:val="78837A78"/>
    <w:rsid w:val="78951722"/>
    <w:rsid w:val="78DD168F"/>
    <w:rsid w:val="79B235E7"/>
    <w:rsid w:val="7A0B6A46"/>
    <w:rsid w:val="7B6D0A9B"/>
    <w:rsid w:val="7B9152AC"/>
    <w:rsid w:val="7D680D8C"/>
    <w:rsid w:val="7DD4793B"/>
    <w:rsid w:val="7E5D66DD"/>
    <w:rsid w:val="7E8045CE"/>
    <w:rsid w:val="7E9531C3"/>
    <w:rsid w:val="7F716926"/>
    <w:rsid w:val="7F76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4"/>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59"/>
    <w:qFormat/>
    <w:uiPriority w:val="9"/>
    <w:pPr>
      <w:keepNext/>
      <w:keepLines/>
      <w:numPr>
        <w:ilvl w:val="2"/>
        <w:numId w:val="2"/>
      </w:numPr>
      <w:tabs>
        <w:tab w:val="left" w:pos="720"/>
      </w:tabs>
      <w:spacing w:before="260" w:after="260" w:line="416" w:lineRule="auto"/>
      <w:outlineLvl w:val="2"/>
    </w:pPr>
    <w:rPr>
      <w:b/>
      <w:bCs/>
      <w:sz w:val="32"/>
      <w:szCs w:val="32"/>
    </w:rPr>
  </w:style>
  <w:style w:type="paragraph" w:styleId="5">
    <w:name w:val="heading 4"/>
    <w:basedOn w:val="1"/>
    <w:next w:val="1"/>
    <w:link w:val="40"/>
    <w:qFormat/>
    <w:uiPriority w:val="9"/>
    <w:pPr>
      <w:keepNext/>
      <w:keepLines/>
      <w:numPr>
        <w:ilvl w:val="3"/>
        <w:numId w:val="1"/>
      </w:numPr>
      <w:spacing w:before="280" w:after="290" w:line="376" w:lineRule="auto"/>
      <w:outlineLvl w:val="3"/>
    </w:pPr>
    <w:rPr>
      <w:rFonts w:ascii="Cambria" w:hAnsi="Cambria" w:cs="Cambria"/>
      <w:b/>
      <w:bCs/>
      <w:sz w:val="28"/>
      <w:szCs w:val="28"/>
    </w:rPr>
  </w:style>
  <w:style w:type="paragraph" w:styleId="6">
    <w:name w:val="heading 5"/>
    <w:basedOn w:val="1"/>
    <w:next w:val="1"/>
    <w:link w:val="41"/>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2"/>
    <w:qFormat/>
    <w:uiPriority w:val="9"/>
    <w:pPr>
      <w:keepNext/>
      <w:keepLines/>
      <w:numPr>
        <w:ilvl w:val="5"/>
        <w:numId w:val="1"/>
      </w:numPr>
      <w:spacing w:before="240" w:after="64" w:line="320" w:lineRule="auto"/>
      <w:outlineLvl w:val="5"/>
    </w:pPr>
    <w:rPr>
      <w:rFonts w:ascii="Cambria" w:hAnsi="Cambria" w:cs="Cambria"/>
      <w:b/>
      <w:bCs/>
      <w:sz w:val="24"/>
      <w:szCs w:val="24"/>
    </w:rPr>
  </w:style>
  <w:style w:type="paragraph" w:styleId="8">
    <w:name w:val="heading 7"/>
    <w:basedOn w:val="1"/>
    <w:next w:val="1"/>
    <w:link w:val="43"/>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4"/>
    <w:qFormat/>
    <w:uiPriority w:val="9"/>
    <w:pPr>
      <w:keepNext/>
      <w:keepLines/>
      <w:numPr>
        <w:ilvl w:val="7"/>
        <w:numId w:val="1"/>
      </w:numPr>
      <w:spacing w:before="240" w:after="64" w:line="320" w:lineRule="auto"/>
      <w:outlineLvl w:val="7"/>
    </w:pPr>
    <w:rPr>
      <w:rFonts w:ascii="Cambria" w:hAnsi="Cambria" w:cs="Cambria"/>
      <w:sz w:val="24"/>
      <w:szCs w:val="24"/>
    </w:rPr>
  </w:style>
  <w:style w:type="paragraph" w:styleId="10">
    <w:name w:val="heading 9"/>
    <w:basedOn w:val="1"/>
    <w:next w:val="1"/>
    <w:link w:val="45"/>
    <w:qFormat/>
    <w:uiPriority w:val="9"/>
    <w:pPr>
      <w:keepNext/>
      <w:keepLines/>
      <w:numPr>
        <w:ilvl w:val="8"/>
        <w:numId w:val="1"/>
      </w:numPr>
      <w:spacing w:before="240" w:after="64" w:line="320" w:lineRule="auto"/>
      <w:outlineLvl w:val="8"/>
    </w:pPr>
    <w:rPr>
      <w:rFonts w:ascii="Cambria" w:hAnsi="Cambria" w:cs="Cambri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link w:val="60"/>
    <w:qFormat/>
    <w:uiPriority w:val="0"/>
    <w:rPr>
      <w:rFonts w:ascii="Heiti SC Light" w:eastAsia="Heiti SC Light"/>
      <w:b/>
      <w:bCs/>
      <w:sz w:val="24"/>
      <w:szCs w:val="24"/>
    </w:rPr>
  </w:style>
  <w:style w:type="paragraph" w:styleId="13">
    <w:name w:val="annotation text"/>
    <w:basedOn w:val="1"/>
    <w:link w:val="81"/>
    <w:qFormat/>
    <w:uiPriority w:val="0"/>
    <w:pPr>
      <w:jc w:val="left"/>
    </w:pPr>
  </w:style>
  <w:style w:type="paragraph" w:styleId="14">
    <w:name w:val="Body Text 3"/>
    <w:basedOn w:val="1"/>
    <w:next w:val="1"/>
    <w:qFormat/>
    <w:uiPriority w:val="0"/>
    <w:rPr>
      <w:rFonts w:ascii="Times New Roman" w:hAnsi="Times New Roman" w:cs="Times New Roman"/>
      <w:sz w:val="24"/>
    </w:rPr>
  </w:style>
  <w:style w:type="paragraph" w:styleId="15">
    <w:name w:val="Body Text"/>
    <w:basedOn w:val="1"/>
    <w:next w:val="14"/>
    <w:link w:val="58"/>
    <w:qFormat/>
    <w:uiPriority w:val="0"/>
    <w:pPr>
      <w:spacing w:after="120"/>
    </w:pPr>
    <w:rPr>
      <w:rFonts w:ascii="Times New Roman" w:hAnsi="Times New Roman" w:cs="Times New Roman"/>
      <w:b/>
      <w:bCs/>
      <w:szCs w:val="24"/>
    </w:rPr>
  </w:style>
  <w:style w:type="paragraph" w:styleId="16">
    <w:name w:val="Body Text Indent"/>
    <w:basedOn w:val="1"/>
    <w:link w:val="55"/>
    <w:qFormat/>
    <w:uiPriority w:val="0"/>
    <w:pPr>
      <w:spacing w:after="120"/>
      <w:ind w:left="420" w:leftChars="200"/>
    </w:pPr>
    <w:rPr>
      <w:b/>
      <w:bCs/>
    </w:rPr>
  </w:style>
  <w:style w:type="paragraph" w:styleId="17">
    <w:name w:val="toc 3"/>
    <w:basedOn w:val="1"/>
    <w:next w:val="1"/>
    <w:qFormat/>
    <w:uiPriority w:val="39"/>
    <w:pPr>
      <w:tabs>
        <w:tab w:val="left" w:pos="1134"/>
        <w:tab w:val="right" w:leader="dot" w:pos="8990"/>
      </w:tabs>
      <w:spacing w:line="420" w:lineRule="exact"/>
      <w:ind w:left="567" w:leftChars="270"/>
    </w:pPr>
  </w:style>
  <w:style w:type="paragraph" w:styleId="18">
    <w:name w:val="Plain Text"/>
    <w:basedOn w:val="1"/>
    <w:link w:val="61"/>
    <w:qFormat/>
    <w:uiPriority w:val="0"/>
    <w:pPr>
      <w:adjustRightInd w:val="0"/>
      <w:spacing w:line="360" w:lineRule="atLeast"/>
      <w:jc w:val="left"/>
    </w:pPr>
    <w:rPr>
      <w:rFonts w:ascii="宋体" w:hAnsi="Courier New" w:cs="Helv"/>
      <w:b/>
      <w:bCs/>
      <w:kern w:val="44"/>
      <w:sz w:val="20"/>
    </w:rPr>
  </w:style>
  <w:style w:type="paragraph" w:styleId="19">
    <w:name w:val="Body Text Indent 2"/>
    <w:basedOn w:val="1"/>
    <w:link w:val="57"/>
    <w:qFormat/>
    <w:uiPriority w:val="0"/>
    <w:pPr>
      <w:spacing w:after="120" w:line="480" w:lineRule="auto"/>
      <w:ind w:left="420" w:leftChars="200"/>
    </w:pPr>
    <w:rPr>
      <w:rFonts w:ascii="Times New Roman" w:hAnsi="Times New Roman" w:cs="Times New Roman"/>
      <w:b/>
      <w:bCs/>
      <w:szCs w:val="24"/>
    </w:rPr>
  </w:style>
  <w:style w:type="paragraph" w:styleId="20">
    <w:name w:val="Balloon Text"/>
    <w:basedOn w:val="1"/>
    <w:link w:val="79"/>
    <w:qFormat/>
    <w:uiPriority w:val="0"/>
    <w:rPr>
      <w:sz w:val="18"/>
      <w:szCs w:val="18"/>
    </w:rPr>
  </w:style>
  <w:style w:type="paragraph" w:styleId="21">
    <w:name w:val="footer"/>
    <w:basedOn w:val="1"/>
    <w:link w:val="48"/>
    <w:qFormat/>
    <w:uiPriority w:val="0"/>
    <w:pPr>
      <w:tabs>
        <w:tab w:val="center" w:pos="4153"/>
        <w:tab w:val="right" w:pos="8306"/>
      </w:tabs>
      <w:snapToGrid w:val="0"/>
      <w:jc w:val="left"/>
    </w:pPr>
    <w:rPr>
      <w:b/>
      <w:bCs/>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b/>
      <w:bCs/>
      <w:sz w:val="18"/>
      <w:szCs w:val="18"/>
    </w:rPr>
  </w:style>
  <w:style w:type="paragraph" w:styleId="23">
    <w:name w:val="toc 1"/>
    <w:basedOn w:val="1"/>
    <w:next w:val="1"/>
    <w:qFormat/>
    <w:uiPriority w:val="39"/>
  </w:style>
  <w:style w:type="paragraph" w:styleId="24">
    <w:name w:val="toc 4"/>
    <w:basedOn w:val="1"/>
    <w:next w:val="1"/>
    <w:qFormat/>
    <w:uiPriority w:val="39"/>
    <w:pPr>
      <w:tabs>
        <w:tab w:val="left" w:pos="1701"/>
        <w:tab w:val="right" w:leader="dot" w:pos="8990"/>
      </w:tabs>
      <w:ind w:left="850" w:leftChars="405"/>
    </w:pPr>
  </w:style>
  <w:style w:type="paragraph" w:styleId="25">
    <w:name w:val="Subtitle"/>
    <w:basedOn w:val="1"/>
    <w:next w:val="1"/>
    <w:link w:val="52"/>
    <w:qFormat/>
    <w:uiPriority w:val="0"/>
    <w:pPr>
      <w:spacing w:before="240" w:after="60" w:line="312" w:lineRule="auto"/>
      <w:jc w:val="center"/>
      <w:outlineLvl w:val="1"/>
    </w:pPr>
    <w:rPr>
      <w:rFonts w:ascii="Calibri Light" w:hAnsi="Calibri Light" w:cs="Times New Roman"/>
      <w:kern w:val="28"/>
      <w:sz w:val="32"/>
      <w:szCs w:val="32"/>
    </w:rPr>
  </w:style>
  <w:style w:type="paragraph" w:styleId="26">
    <w:name w:val="Body Text Indent 3"/>
    <w:basedOn w:val="1"/>
    <w:link w:val="50"/>
    <w:qFormat/>
    <w:uiPriority w:val="0"/>
    <w:pPr>
      <w:spacing w:after="120"/>
      <w:ind w:left="420" w:leftChars="200"/>
    </w:pPr>
    <w:rPr>
      <w:rFonts w:ascii="Times New Roman" w:hAnsi="Times New Roman" w:cs="Times New Roman"/>
      <w:b/>
      <w:bCs/>
      <w:sz w:val="16"/>
      <w:szCs w:val="16"/>
    </w:rPr>
  </w:style>
  <w:style w:type="paragraph" w:styleId="27">
    <w:name w:val="toc 2"/>
    <w:basedOn w:val="1"/>
    <w:next w:val="1"/>
    <w:qFormat/>
    <w:uiPriority w:val="39"/>
    <w:pPr>
      <w:tabs>
        <w:tab w:val="left" w:pos="709"/>
        <w:tab w:val="right" w:leader="dot" w:pos="8990"/>
      </w:tabs>
      <w:ind w:left="283" w:leftChars="135"/>
    </w:pPr>
  </w:style>
  <w:style w:type="paragraph" w:styleId="2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3"/>
    <w:next w:val="13"/>
    <w:link w:val="82"/>
    <w:qFormat/>
    <w:uiPriority w:val="0"/>
    <w:rPr>
      <w:b/>
      <w:bCs/>
    </w:rPr>
  </w:style>
  <w:style w:type="paragraph" w:styleId="30">
    <w:name w:val="Body Text First Indent 2"/>
    <w:basedOn w:val="16"/>
    <w:link w:val="56"/>
    <w:qFormat/>
    <w:uiPriority w:val="0"/>
    <w:pPr>
      <w:ind w:firstLine="420" w:firstLineChars="200"/>
    </w:p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paragraph" w:customStyle="1" w:styleId="35">
    <w:name w:val="样式 样式 正文缩进 + 首行缩进:  2 字符 + 五号"/>
    <w:basedOn w:val="36"/>
    <w:qFormat/>
    <w:uiPriority w:val="0"/>
    <w:pPr>
      <w:spacing w:line="240" w:lineRule="auto"/>
      <w:ind w:firstLine="0" w:firstLineChars="0"/>
    </w:pPr>
    <w:rPr>
      <w:sz w:val="21"/>
    </w:rPr>
  </w:style>
  <w:style w:type="paragraph" w:customStyle="1" w:styleId="36">
    <w:name w:val="样式 正文缩进 + 首行缩进:  2 字符"/>
    <w:basedOn w:val="11"/>
    <w:qFormat/>
    <w:uiPriority w:val="0"/>
    <w:pPr>
      <w:spacing w:line="360" w:lineRule="auto"/>
      <w:ind w:firstLine="200"/>
    </w:pPr>
    <w:rPr>
      <w:rFonts w:cs="宋体"/>
      <w:sz w:val="24"/>
      <w:szCs w:val="20"/>
    </w:rPr>
  </w:style>
  <w:style w:type="character" w:customStyle="1" w:styleId="37">
    <w:name w:val="标题 1 字符"/>
    <w:basedOn w:val="32"/>
    <w:qFormat/>
    <w:uiPriority w:val="9"/>
    <w:rPr>
      <w:rFonts w:ascii="Calibri" w:hAnsi="Calibri" w:cs="Calibri"/>
      <w:sz w:val="44"/>
      <w:szCs w:val="44"/>
    </w:rPr>
  </w:style>
  <w:style w:type="character" w:customStyle="1" w:styleId="38">
    <w:name w:val="标题 2 字符"/>
    <w:basedOn w:val="32"/>
    <w:qFormat/>
    <w:uiPriority w:val="0"/>
    <w:rPr>
      <w:rFonts w:asciiTheme="majorHAnsi" w:hAnsiTheme="majorHAnsi" w:eastAsiaTheme="majorEastAsia" w:cstheme="majorBidi"/>
      <w:kern w:val="2"/>
      <w:sz w:val="32"/>
      <w:szCs w:val="32"/>
    </w:rPr>
  </w:style>
  <w:style w:type="character" w:customStyle="1" w:styleId="39">
    <w:name w:val="标题 3 字符"/>
    <w:basedOn w:val="32"/>
    <w:qFormat/>
    <w:uiPriority w:val="9"/>
    <w:rPr>
      <w:rFonts w:ascii="Calibri" w:hAnsi="Calibri" w:cs="Calibri"/>
      <w:kern w:val="2"/>
      <w:sz w:val="32"/>
      <w:szCs w:val="32"/>
    </w:rPr>
  </w:style>
  <w:style w:type="character" w:customStyle="1" w:styleId="40">
    <w:name w:val="标题 4 字符"/>
    <w:basedOn w:val="32"/>
    <w:link w:val="5"/>
    <w:qFormat/>
    <w:uiPriority w:val="9"/>
    <w:rPr>
      <w:rFonts w:ascii="Cambria" w:hAnsi="Cambria" w:cs="Cambria"/>
      <w:kern w:val="2"/>
      <w:sz w:val="28"/>
      <w:szCs w:val="28"/>
    </w:rPr>
  </w:style>
  <w:style w:type="character" w:customStyle="1" w:styleId="41">
    <w:name w:val="标题 5 字符"/>
    <w:basedOn w:val="32"/>
    <w:link w:val="6"/>
    <w:qFormat/>
    <w:uiPriority w:val="9"/>
    <w:rPr>
      <w:rFonts w:ascii="Calibri" w:hAnsi="Calibri" w:cs="Calibri"/>
      <w:kern w:val="2"/>
      <w:sz w:val="28"/>
      <w:szCs w:val="28"/>
    </w:rPr>
  </w:style>
  <w:style w:type="character" w:customStyle="1" w:styleId="42">
    <w:name w:val="标题 6 字符"/>
    <w:basedOn w:val="32"/>
    <w:link w:val="7"/>
    <w:qFormat/>
    <w:uiPriority w:val="9"/>
    <w:rPr>
      <w:rFonts w:ascii="Cambria" w:hAnsi="Cambria" w:cs="Cambria"/>
      <w:kern w:val="2"/>
      <w:sz w:val="24"/>
      <w:szCs w:val="24"/>
    </w:rPr>
  </w:style>
  <w:style w:type="character" w:customStyle="1" w:styleId="43">
    <w:name w:val="标题 7 字符"/>
    <w:basedOn w:val="32"/>
    <w:link w:val="8"/>
    <w:qFormat/>
    <w:uiPriority w:val="9"/>
    <w:rPr>
      <w:rFonts w:ascii="Calibri" w:hAnsi="Calibri" w:cs="Calibri"/>
      <w:kern w:val="2"/>
      <w:sz w:val="24"/>
      <w:szCs w:val="24"/>
    </w:rPr>
  </w:style>
  <w:style w:type="character" w:customStyle="1" w:styleId="44">
    <w:name w:val="标题 8 字符"/>
    <w:basedOn w:val="32"/>
    <w:link w:val="9"/>
    <w:qFormat/>
    <w:uiPriority w:val="9"/>
    <w:rPr>
      <w:rFonts w:ascii="Cambria" w:hAnsi="Cambria" w:cs="Cambria"/>
      <w:kern w:val="2"/>
      <w:sz w:val="24"/>
      <w:szCs w:val="24"/>
    </w:rPr>
  </w:style>
  <w:style w:type="character" w:customStyle="1" w:styleId="45">
    <w:name w:val="标题 9 字符"/>
    <w:basedOn w:val="32"/>
    <w:link w:val="10"/>
    <w:qFormat/>
    <w:uiPriority w:val="9"/>
    <w:rPr>
      <w:rFonts w:ascii="Cambria" w:hAnsi="Cambria" w:cs="Cambria"/>
      <w:kern w:val="2"/>
      <w:sz w:val="21"/>
      <w:szCs w:val="21"/>
    </w:rPr>
  </w:style>
  <w:style w:type="character" w:customStyle="1" w:styleId="46">
    <w:name w:val="正文首行缩进1(Crlf+Shift+M) Char"/>
    <w:link w:val="47"/>
    <w:qFormat/>
    <w:uiPriority w:val="0"/>
    <w:rPr>
      <w:rFonts w:ascii="Arial" w:hAnsi="Arial"/>
      <w:kern w:val="2"/>
      <w:sz w:val="21"/>
      <w:szCs w:val="24"/>
    </w:rPr>
  </w:style>
  <w:style w:type="paragraph" w:customStyle="1" w:styleId="47">
    <w:name w:val="正文首行缩进1(Crlf+Shift+M)"/>
    <w:link w:val="46"/>
    <w:qFormat/>
    <w:uiPriority w:val="0"/>
    <w:pPr>
      <w:spacing w:before="120" w:after="120" w:line="360" w:lineRule="auto"/>
      <w:ind w:firstLine="420" w:firstLineChars="200"/>
    </w:pPr>
    <w:rPr>
      <w:rFonts w:ascii="Arial" w:hAnsi="Arial" w:eastAsia="宋体" w:cs="Times New Roman"/>
      <w:b/>
      <w:bCs/>
      <w:kern w:val="2"/>
      <w:sz w:val="21"/>
      <w:szCs w:val="24"/>
      <w:lang w:val="en-US" w:eastAsia="zh-CN" w:bidi="ar-SA"/>
    </w:rPr>
  </w:style>
  <w:style w:type="character" w:customStyle="1" w:styleId="48">
    <w:name w:val="页脚 字符1"/>
    <w:link w:val="21"/>
    <w:qFormat/>
    <w:uiPriority w:val="0"/>
    <w:rPr>
      <w:rFonts w:ascii="Calibri" w:hAnsi="Calibri" w:cs="Calibri"/>
      <w:kern w:val="2"/>
      <w:sz w:val="18"/>
      <w:szCs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正文文本缩进 3 字符1"/>
    <w:link w:val="26"/>
    <w:qFormat/>
    <w:uiPriority w:val="0"/>
    <w:rPr>
      <w:kern w:val="2"/>
      <w:sz w:val="16"/>
      <w:szCs w:val="16"/>
    </w:rPr>
  </w:style>
  <w:style w:type="character" w:customStyle="1" w:styleId="51">
    <w:name w:val="页眉 字符1"/>
    <w:link w:val="22"/>
    <w:qFormat/>
    <w:uiPriority w:val="0"/>
    <w:rPr>
      <w:rFonts w:ascii="Calibri" w:hAnsi="Calibri" w:cs="Calibri"/>
      <w:kern w:val="2"/>
      <w:sz w:val="18"/>
      <w:szCs w:val="18"/>
    </w:rPr>
  </w:style>
  <w:style w:type="character" w:customStyle="1" w:styleId="52">
    <w:name w:val="副标题 字符1"/>
    <w:link w:val="25"/>
    <w:qFormat/>
    <w:uiPriority w:val="0"/>
    <w:rPr>
      <w:rFonts w:ascii="Calibri Light" w:hAnsi="Calibri Light"/>
      <w:kern w:val="28"/>
      <w:sz w:val="32"/>
      <w:szCs w:val="32"/>
    </w:rPr>
  </w:style>
  <w:style w:type="character" w:customStyle="1" w:styleId="53">
    <w:name w:val="标题 2 字符1"/>
    <w:link w:val="3"/>
    <w:qFormat/>
    <w:locked/>
    <w:uiPriority w:val="0"/>
    <w:rPr>
      <w:rFonts w:ascii="Cambria" w:hAnsi="Cambria" w:cs="Cambria"/>
      <w:kern w:val="2"/>
      <w:sz w:val="32"/>
      <w:szCs w:val="32"/>
    </w:rPr>
  </w:style>
  <w:style w:type="character" w:customStyle="1" w:styleId="54">
    <w:name w:val="标题 1 字符1"/>
    <w:link w:val="2"/>
    <w:qFormat/>
    <w:locked/>
    <w:uiPriority w:val="9"/>
    <w:rPr>
      <w:rFonts w:ascii="Calibri" w:hAnsi="Calibri" w:cs="Calibri"/>
      <w:sz w:val="44"/>
      <w:szCs w:val="44"/>
    </w:rPr>
  </w:style>
  <w:style w:type="character" w:customStyle="1" w:styleId="55">
    <w:name w:val="正文文本缩进 字符1"/>
    <w:link w:val="16"/>
    <w:qFormat/>
    <w:uiPriority w:val="0"/>
    <w:rPr>
      <w:rFonts w:ascii="Calibri" w:hAnsi="Calibri" w:cs="Calibri"/>
      <w:kern w:val="2"/>
      <w:sz w:val="21"/>
      <w:szCs w:val="21"/>
    </w:rPr>
  </w:style>
  <w:style w:type="character" w:customStyle="1" w:styleId="56">
    <w:name w:val="正文文本首行缩进 2 字符2"/>
    <w:basedOn w:val="55"/>
    <w:link w:val="30"/>
    <w:qFormat/>
    <w:uiPriority w:val="0"/>
    <w:rPr>
      <w:rFonts w:ascii="Calibri" w:hAnsi="Calibri" w:cs="Calibri"/>
      <w:kern w:val="2"/>
      <w:sz w:val="21"/>
      <w:szCs w:val="21"/>
    </w:rPr>
  </w:style>
  <w:style w:type="character" w:customStyle="1" w:styleId="57">
    <w:name w:val="正文文本缩进 2 字符1"/>
    <w:link w:val="19"/>
    <w:qFormat/>
    <w:uiPriority w:val="0"/>
    <w:rPr>
      <w:kern w:val="2"/>
      <w:sz w:val="21"/>
      <w:szCs w:val="24"/>
    </w:rPr>
  </w:style>
  <w:style w:type="character" w:customStyle="1" w:styleId="58">
    <w:name w:val="正文文本 字符1"/>
    <w:link w:val="15"/>
    <w:qFormat/>
    <w:uiPriority w:val="0"/>
    <w:rPr>
      <w:kern w:val="2"/>
      <w:sz w:val="21"/>
      <w:szCs w:val="24"/>
    </w:rPr>
  </w:style>
  <w:style w:type="character" w:customStyle="1" w:styleId="59">
    <w:name w:val="标题 3 字符2"/>
    <w:link w:val="4"/>
    <w:qFormat/>
    <w:locked/>
    <w:uiPriority w:val="9"/>
    <w:rPr>
      <w:rFonts w:ascii="Calibri" w:hAnsi="Calibri" w:cs="Calibri"/>
      <w:kern w:val="2"/>
      <w:sz w:val="32"/>
      <w:szCs w:val="32"/>
    </w:rPr>
  </w:style>
  <w:style w:type="character" w:customStyle="1" w:styleId="60">
    <w:name w:val="文档结构图 字符1"/>
    <w:link w:val="12"/>
    <w:qFormat/>
    <w:uiPriority w:val="0"/>
    <w:rPr>
      <w:rFonts w:ascii="Heiti SC Light" w:hAnsi="Calibri" w:eastAsia="Heiti SC Light" w:cs="Calibri"/>
      <w:kern w:val="2"/>
      <w:sz w:val="24"/>
      <w:szCs w:val="24"/>
    </w:rPr>
  </w:style>
  <w:style w:type="character" w:customStyle="1" w:styleId="61">
    <w:name w:val="纯文本 字符1"/>
    <w:link w:val="18"/>
    <w:qFormat/>
    <w:uiPriority w:val="0"/>
    <w:rPr>
      <w:rFonts w:ascii="宋体" w:hAnsi="Courier New" w:cs="Helv"/>
      <w:szCs w:val="21"/>
    </w:rPr>
  </w:style>
  <w:style w:type="character" w:customStyle="1" w:styleId="62">
    <w:name w:val="正文文本缩进 3 字符"/>
    <w:basedOn w:val="32"/>
    <w:semiHidden/>
    <w:qFormat/>
    <w:uiPriority w:val="99"/>
    <w:rPr>
      <w:rFonts w:ascii="Calibri" w:hAnsi="Calibri" w:cs="Calibri"/>
      <w:kern w:val="2"/>
      <w:sz w:val="16"/>
      <w:szCs w:val="16"/>
    </w:rPr>
  </w:style>
  <w:style w:type="character" w:customStyle="1" w:styleId="63">
    <w:name w:val="纯文本 字符"/>
    <w:basedOn w:val="32"/>
    <w:semiHidden/>
    <w:qFormat/>
    <w:uiPriority w:val="99"/>
    <w:rPr>
      <w:rFonts w:hAnsi="Courier New" w:cs="Courier New" w:asciiTheme="minorEastAsia" w:eastAsiaTheme="minorEastAsia"/>
      <w:kern w:val="2"/>
      <w:sz w:val="21"/>
      <w:szCs w:val="21"/>
    </w:rPr>
  </w:style>
  <w:style w:type="character" w:customStyle="1" w:styleId="64">
    <w:name w:val="批注文字 字符"/>
    <w:basedOn w:val="32"/>
    <w:qFormat/>
    <w:uiPriority w:val="0"/>
    <w:rPr>
      <w:rFonts w:ascii="Calibri" w:hAnsi="Calibri" w:cs="Calibri"/>
      <w:kern w:val="2"/>
      <w:sz w:val="21"/>
      <w:szCs w:val="21"/>
    </w:rPr>
  </w:style>
  <w:style w:type="character" w:customStyle="1" w:styleId="65">
    <w:name w:val="正文文本 字符"/>
    <w:basedOn w:val="32"/>
    <w:semiHidden/>
    <w:qFormat/>
    <w:uiPriority w:val="99"/>
    <w:rPr>
      <w:rFonts w:ascii="Calibri" w:hAnsi="Calibri" w:cs="Calibri"/>
      <w:kern w:val="2"/>
      <w:sz w:val="21"/>
      <w:szCs w:val="21"/>
    </w:rPr>
  </w:style>
  <w:style w:type="character" w:customStyle="1" w:styleId="66">
    <w:name w:val="文档结构图 字符"/>
    <w:basedOn w:val="32"/>
    <w:semiHidden/>
    <w:qFormat/>
    <w:uiPriority w:val="99"/>
    <w:rPr>
      <w:rFonts w:ascii="Microsoft YaHei UI" w:hAnsi="Calibri" w:eastAsia="Microsoft YaHei UI" w:cs="Calibri"/>
      <w:kern w:val="2"/>
      <w:sz w:val="18"/>
      <w:szCs w:val="18"/>
    </w:rPr>
  </w:style>
  <w:style w:type="character" w:customStyle="1" w:styleId="67">
    <w:name w:val="页眉 字符"/>
    <w:basedOn w:val="32"/>
    <w:semiHidden/>
    <w:qFormat/>
    <w:uiPriority w:val="99"/>
    <w:rPr>
      <w:rFonts w:ascii="Calibri" w:hAnsi="Calibri" w:cs="Calibri"/>
      <w:kern w:val="2"/>
      <w:sz w:val="18"/>
      <w:szCs w:val="18"/>
    </w:rPr>
  </w:style>
  <w:style w:type="character" w:customStyle="1" w:styleId="68">
    <w:name w:val="正文文本缩进 字符"/>
    <w:basedOn w:val="32"/>
    <w:semiHidden/>
    <w:qFormat/>
    <w:uiPriority w:val="99"/>
    <w:rPr>
      <w:rFonts w:ascii="Calibri" w:hAnsi="Calibri" w:cs="Calibri"/>
      <w:kern w:val="2"/>
      <w:sz w:val="21"/>
      <w:szCs w:val="21"/>
    </w:rPr>
  </w:style>
  <w:style w:type="character" w:customStyle="1" w:styleId="69">
    <w:name w:val="正文文本首行缩进 2 字符"/>
    <w:basedOn w:val="68"/>
    <w:semiHidden/>
    <w:qFormat/>
    <w:uiPriority w:val="99"/>
    <w:rPr>
      <w:rFonts w:ascii="Calibri" w:hAnsi="Calibri" w:cs="Calibri"/>
      <w:kern w:val="2"/>
      <w:sz w:val="21"/>
      <w:szCs w:val="21"/>
    </w:rPr>
  </w:style>
  <w:style w:type="character" w:customStyle="1" w:styleId="70">
    <w:name w:val="副标题 字符"/>
    <w:basedOn w:val="32"/>
    <w:qFormat/>
    <w:uiPriority w:val="0"/>
    <w:rPr>
      <w:rFonts w:asciiTheme="minorHAnsi" w:hAnsiTheme="minorHAnsi" w:eastAsiaTheme="minorEastAsia" w:cstheme="minorBidi"/>
      <w:kern w:val="28"/>
      <w:sz w:val="32"/>
      <w:szCs w:val="32"/>
    </w:rPr>
  </w:style>
  <w:style w:type="character" w:customStyle="1" w:styleId="71">
    <w:name w:val="页脚 字符"/>
    <w:basedOn w:val="32"/>
    <w:semiHidden/>
    <w:qFormat/>
    <w:uiPriority w:val="99"/>
    <w:rPr>
      <w:rFonts w:ascii="Calibri" w:hAnsi="Calibri" w:cs="Calibri"/>
      <w:kern w:val="2"/>
      <w:sz w:val="18"/>
      <w:szCs w:val="18"/>
    </w:rPr>
  </w:style>
  <w:style w:type="character" w:customStyle="1" w:styleId="72">
    <w:name w:val="正文文本缩进 2 字符"/>
    <w:basedOn w:val="32"/>
    <w:semiHidden/>
    <w:qFormat/>
    <w:uiPriority w:val="99"/>
    <w:rPr>
      <w:rFonts w:ascii="Calibri" w:hAnsi="Calibri" w:cs="Calibri"/>
      <w:kern w:val="2"/>
      <w:sz w:val="21"/>
      <w:szCs w:val="21"/>
    </w:rPr>
  </w:style>
  <w:style w:type="paragraph" w:customStyle="1" w:styleId="73">
    <w:name w:val="彩色列表 - 着色 11"/>
    <w:basedOn w:val="1"/>
    <w:qFormat/>
    <w:uiPriority w:val="34"/>
    <w:pPr>
      <w:ind w:firstLine="420" w:firstLineChars="200"/>
    </w:pPr>
  </w:style>
  <w:style w:type="paragraph" w:styleId="74">
    <w:name w:val="List Paragraph"/>
    <w:basedOn w:val="1"/>
    <w:link w:val="84"/>
    <w:qFormat/>
    <w:uiPriority w:val="34"/>
    <w:pPr>
      <w:ind w:firstLine="420" w:firstLineChars="200"/>
    </w:pPr>
  </w:style>
  <w:style w:type="paragraph" w:customStyle="1" w:styleId="75">
    <w:name w:val="列表段落1"/>
    <w:basedOn w:val="1"/>
    <w:qFormat/>
    <w:uiPriority w:val="0"/>
    <w:pPr>
      <w:ind w:firstLine="420" w:firstLineChars="200"/>
    </w:pPr>
  </w:style>
  <w:style w:type="paragraph" w:customStyle="1" w:styleId="76">
    <w:name w:val="正文首行缩进两字符"/>
    <w:basedOn w:val="1"/>
    <w:qFormat/>
    <w:uiPriority w:val="99"/>
    <w:pPr>
      <w:spacing w:line="360" w:lineRule="auto"/>
      <w:ind w:firstLine="200" w:firstLineChars="200"/>
    </w:pPr>
    <w:rPr>
      <w:rFonts w:ascii="Times New Roman" w:hAnsi="Times New Roman" w:cs="Times New Roman"/>
      <w:szCs w:val="24"/>
    </w:rPr>
  </w:style>
  <w:style w:type="paragraph" w:customStyle="1" w:styleId="77">
    <w:name w:val="中等深浅网格 1 - 着色 21"/>
    <w:basedOn w:val="1"/>
    <w:qFormat/>
    <w:uiPriority w:val="34"/>
    <w:pPr>
      <w:widowControl/>
      <w:spacing w:before="200" w:after="200" w:line="276" w:lineRule="auto"/>
      <w:ind w:left="720"/>
      <w:contextualSpacing/>
      <w:jc w:val="left"/>
    </w:pPr>
    <w:rPr>
      <w:rFonts w:cs="Times New Roman"/>
      <w:kern w:val="0"/>
      <w:sz w:val="20"/>
      <w:szCs w:val="20"/>
    </w:rPr>
  </w:style>
  <w:style w:type="character" w:customStyle="1" w:styleId="78">
    <w:name w:val="批注框文本 字符"/>
    <w:basedOn w:val="32"/>
    <w:semiHidden/>
    <w:qFormat/>
    <w:uiPriority w:val="99"/>
    <w:rPr>
      <w:rFonts w:ascii="Calibri" w:hAnsi="Calibri" w:cs="Calibri"/>
      <w:kern w:val="2"/>
      <w:sz w:val="18"/>
      <w:szCs w:val="18"/>
    </w:rPr>
  </w:style>
  <w:style w:type="character" w:customStyle="1" w:styleId="79">
    <w:name w:val="批注框文本 字符1"/>
    <w:link w:val="20"/>
    <w:qFormat/>
    <w:uiPriority w:val="0"/>
    <w:rPr>
      <w:rFonts w:ascii="Calibri" w:hAnsi="Calibri" w:cs="Calibri"/>
      <w:kern w:val="2"/>
      <w:sz w:val="18"/>
      <w:szCs w:val="18"/>
    </w:rPr>
  </w:style>
  <w:style w:type="character" w:customStyle="1" w:styleId="80">
    <w:name w:val="批注主题 字符"/>
    <w:basedOn w:val="64"/>
    <w:semiHidden/>
    <w:qFormat/>
    <w:uiPriority w:val="99"/>
    <w:rPr>
      <w:rFonts w:ascii="Calibri" w:hAnsi="Calibri" w:cs="Calibri"/>
      <w:b/>
      <w:bCs/>
      <w:kern w:val="2"/>
      <w:sz w:val="21"/>
      <w:szCs w:val="21"/>
    </w:rPr>
  </w:style>
  <w:style w:type="character" w:customStyle="1" w:styleId="81">
    <w:name w:val="批注文字 字符1"/>
    <w:link w:val="13"/>
    <w:qFormat/>
    <w:uiPriority w:val="0"/>
    <w:rPr>
      <w:rFonts w:ascii="Calibri" w:hAnsi="Calibri" w:cs="Calibri"/>
      <w:kern w:val="2"/>
      <w:sz w:val="21"/>
      <w:szCs w:val="21"/>
    </w:rPr>
  </w:style>
  <w:style w:type="character" w:customStyle="1" w:styleId="82">
    <w:name w:val="批注主题 字符1"/>
    <w:link w:val="29"/>
    <w:qFormat/>
    <w:uiPriority w:val="0"/>
    <w:rPr>
      <w:rFonts w:ascii="Calibri" w:hAnsi="Calibri" w:cs="Calibri"/>
      <w:kern w:val="2"/>
      <w:sz w:val="21"/>
      <w:szCs w:val="21"/>
    </w:rPr>
  </w:style>
  <w:style w:type="character" w:customStyle="1" w:styleId="83">
    <w:name w:val="标题 3 字符1"/>
    <w:qFormat/>
    <w:locked/>
    <w:uiPriority w:val="9"/>
    <w:rPr>
      <w:rFonts w:ascii="Calibri" w:hAnsi="Calibri" w:cs="Calibri"/>
      <w:kern w:val="2"/>
      <w:sz w:val="32"/>
      <w:szCs w:val="32"/>
    </w:rPr>
  </w:style>
  <w:style w:type="character" w:customStyle="1" w:styleId="84">
    <w:name w:val="列表段落 字符1"/>
    <w:link w:val="74"/>
    <w:qFormat/>
    <w:locked/>
    <w:uiPriority w:val="34"/>
    <w:rPr>
      <w:rFonts w:ascii="Calibri" w:hAnsi="Calibri" w:cs="Calibri"/>
      <w:kern w:val="2"/>
      <w:sz w:val="21"/>
      <w:szCs w:val="21"/>
    </w:rPr>
  </w:style>
  <w:style w:type="character" w:customStyle="1" w:styleId="85">
    <w:name w:val="列表段落 字符"/>
    <w:qFormat/>
    <w:uiPriority w:val="34"/>
    <w:rPr>
      <w:rFonts w:ascii="等线" w:hAnsi="等线" w:eastAsia="等线" w:cs="Times New Roman"/>
      <w:sz w:val="21"/>
      <w:szCs w:val="22"/>
    </w:rPr>
  </w:style>
  <w:style w:type="character" w:customStyle="1" w:styleId="86">
    <w:name w:val="正文文本首行缩进 2 字符1"/>
    <w:semiHidden/>
    <w:qFormat/>
    <w:uiPriority w:val="99"/>
  </w:style>
  <w:style w:type="paragraph" w:customStyle="1" w:styleId="87">
    <w:name w:val="Bid_正文"/>
    <w:basedOn w:val="11"/>
    <w:link w:val="88"/>
    <w:qFormat/>
    <w:uiPriority w:val="0"/>
    <w:pPr>
      <w:spacing w:line="360" w:lineRule="auto"/>
      <w:ind w:firstLine="480"/>
    </w:pPr>
    <w:rPr>
      <w:rFonts w:ascii="Times New Roman" w:hAnsi="Times New Roman" w:cs="Times New Roman"/>
      <w:sz w:val="24"/>
      <w:szCs w:val="20"/>
    </w:rPr>
  </w:style>
  <w:style w:type="character" w:customStyle="1" w:styleId="88">
    <w:name w:val="Bid_正文 Char"/>
    <w:link w:val="87"/>
    <w:qFormat/>
    <w:locked/>
    <w:uiPriority w:val="0"/>
    <w:rPr>
      <w:kern w:val="2"/>
      <w:sz w:val="24"/>
    </w:rPr>
  </w:style>
  <w:style w:type="paragraph" w:customStyle="1" w:styleId="89">
    <w:name w:val="自标01"/>
    <w:basedOn w:val="2"/>
    <w:next w:val="1"/>
    <w:qFormat/>
    <w:uiPriority w:val="0"/>
    <w:pPr>
      <w:numPr>
        <w:ilvl w:val="0"/>
        <w:numId w:val="3"/>
      </w:numPr>
      <w:tabs>
        <w:tab w:val="left" w:pos="360"/>
      </w:tabs>
      <w:spacing w:before="211" w:beforeLines="50" w:after="211" w:afterLines="50" w:line="360" w:lineRule="auto"/>
      <w:ind w:left="0" w:firstLine="0"/>
    </w:pPr>
    <w:rPr>
      <w:rFonts w:ascii="宋体" w:hAnsi="宋体" w:cs="Times New Roman (正文 CS 字体)"/>
      <w:sz w:val="32"/>
    </w:rPr>
  </w:style>
  <w:style w:type="paragraph" w:customStyle="1" w:styleId="90">
    <w:name w:val="自标02"/>
    <w:basedOn w:val="3"/>
    <w:next w:val="1"/>
    <w:qFormat/>
    <w:uiPriority w:val="0"/>
    <w:pPr>
      <w:numPr>
        <w:ilvl w:val="1"/>
        <w:numId w:val="3"/>
      </w:numPr>
      <w:tabs>
        <w:tab w:val="left" w:pos="360"/>
      </w:tabs>
      <w:spacing w:before="50" w:beforeLines="50" w:after="50" w:afterLines="50" w:line="360" w:lineRule="auto"/>
    </w:pPr>
    <w:rPr>
      <w:rFonts w:ascii="宋体" w:hAnsi="宋体" w:cs="Times New Roman (标题 CS)"/>
      <w:sz w:val="30"/>
    </w:rPr>
  </w:style>
  <w:style w:type="paragraph" w:customStyle="1" w:styleId="91">
    <w:name w:val="自标03"/>
    <w:basedOn w:val="4"/>
    <w:next w:val="1"/>
    <w:qFormat/>
    <w:uiPriority w:val="0"/>
    <w:pPr>
      <w:numPr>
        <w:numId w:val="3"/>
      </w:numPr>
      <w:tabs>
        <w:tab w:val="left" w:pos="360"/>
        <w:tab w:val="clear" w:pos="720"/>
      </w:tabs>
      <w:spacing w:before="50" w:beforeLines="50" w:after="50" w:afterLines="50" w:line="360" w:lineRule="auto"/>
    </w:pPr>
    <w:rPr>
      <w:rFonts w:ascii="宋体" w:hAnsi="宋体" w:cs="Times New Roman (正文 CS 字体)"/>
      <w:sz w:val="28"/>
    </w:rPr>
  </w:style>
  <w:style w:type="paragraph" w:customStyle="1" w:styleId="92">
    <w:name w:val="自标04"/>
    <w:basedOn w:val="5"/>
    <w:next w:val="1"/>
    <w:qFormat/>
    <w:uiPriority w:val="0"/>
    <w:pPr>
      <w:numPr>
        <w:numId w:val="3"/>
      </w:numPr>
      <w:tabs>
        <w:tab w:val="left" w:pos="360"/>
      </w:tabs>
      <w:spacing w:before="50" w:beforeLines="50" w:after="50" w:afterLines="50" w:line="240" w:lineRule="auto"/>
    </w:pPr>
    <w:rPr>
      <w:rFonts w:ascii="宋体" w:cs="Times New Roman (标题 CS)" w:hAnsiTheme="majorHAnsi"/>
    </w:rPr>
  </w:style>
  <w:style w:type="paragraph" w:customStyle="1" w:styleId="93">
    <w:name w:val="自标05"/>
    <w:basedOn w:val="6"/>
    <w:next w:val="1"/>
    <w:qFormat/>
    <w:uiPriority w:val="0"/>
    <w:pPr>
      <w:numPr>
        <w:numId w:val="3"/>
      </w:numPr>
      <w:tabs>
        <w:tab w:val="left" w:pos="360"/>
      </w:tabs>
      <w:spacing w:before="50" w:beforeLines="50" w:after="50" w:afterLines="50" w:line="240" w:lineRule="auto"/>
    </w:pPr>
    <w:rPr>
      <w:rFonts w:ascii="宋体" w:cs="Times New Roman (正文 CS 字体)" w:hAnsiTheme="minorHAnsi"/>
      <w:sz w:val="24"/>
    </w:rPr>
  </w:style>
  <w:style w:type="paragraph" w:customStyle="1" w:styleId="94">
    <w:name w:val="自标06"/>
    <w:basedOn w:val="7"/>
    <w:next w:val="1"/>
    <w:qFormat/>
    <w:uiPriority w:val="0"/>
    <w:pPr>
      <w:numPr>
        <w:numId w:val="3"/>
      </w:numPr>
      <w:tabs>
        <w:tab w:val="left" w:pos="360"/>
      </w:tabs>
      <w:spacing w:before="50" w:beforeLines="50" w:after="50" w:afterLines="50" w:line="240" w:lineRule="auto"/>
    </w:pPr>
    <w:rPr>
      <w:rFonts w:ascii="宋体" w:cs="Times New Roman (标题 CS)" w:hAnsiTheme="majorHAnsi"/>
    </w:rPr>
  </w:style>
  <w:style w:type="paragraph" w:customStyle="1" w:styleId="95">
    <w:name w:val="自标07"/>
    <w:basedOn w:val="94"/>
    <w:next w:val="1"/>
    <w:qFormat/>
    <w:uiPriority w:val="0"/>
    <w:pPr>
      <w:numPr>
        <w:ilvl w:val="6"/>
      </w:numPr>
      <w:ind w:left="0" w:firstLine="0"/>
      <w:outlineLvl w:val="6"/>
    </w:pPr>
  </w:style>
  <w:style w:type="paragraph" w:customStyle="1" w:styleId="96">
    <w:name w:val="自正01"/>
    <w:basedOn w:val="1"/>
    <w:qFormat/>
    <w:uiPriority w:val="0"/>
    <w:pPr>
      <w:spacing w:line="360" w:lineRule="auto"/>
      <w:ind w:firstLine="200" w:firstLineChars="200"/>
    </w:pPr>
    <w:rPr>
      <w:rFonts w:ascii="宋体" w:hAnsi="宋体" w:cs="微软雅黑"/>
      <w:sz w:val="24"/>
      <w:szCs w:val="24"/>
    </w:rPr>
  </w:style>
  <w:style w:type="paragraph" w:customStyle="1" w:styleId="97">
    <w:name w:val="列出段落1"/>
    <w:basedOn w:val="1"/>
    <w:qFormat/>
    <w:uiPriority w:val="0"/>
    <w:pPr>
      <w:ind w:firstLine="420" w:firstLineChars="200"/>
    </w:pPr>
  </w:style>
  <w:style w:type="character" w:customStyle="1" w:styleId="98">
    <w:name w:val="批注文字 Char"/>
    <w:qFormat/>
    <w:uiPriority w:val="0"/>
    <w:rPr>
      <w:rFonts w:ascii="Calibri" w:hAnsi="Calibri" w:cs="Calibri"/>
      <w:kern w:val="2"/>
      <w:sz w:val="21"/>
      <w:szCs w:val="21"/>
    </w:rPr>
  </w:style>
  <w:style w:type="table" w:customStyle="1" w:styleId="99">
    <w:name w:val="_Style 32"/>
    <w:basedOn w:val="31"/>
    <w:qFormat/>
    <w:uiPriority w:val="0"/>
    <w:rPr>
      <w:rFonts w:ascii="Calibri" w:hAnsi="Calibri" w:cs="Calibri" w:eastAsiaTheme="minorEastAsia"/>
    </w:rPr>
    <w:tblPr>
      <w:tblCellMar>
        <w:left w:w="115" w:type="dxa"/>
        <w:right w:w="115" w:type="dxa"/>
      </w:tblCellMar>
    </w:tblPr>
  </w:style>
  <w:style w:type="paragraph" w:customStyle="1" w:styleId="100">
    <w:name w:val="H正文"/>
    <w:basedOn w:val="1"/>
    <w:qFormat/>
    <w:uiPriority w:val="0"/>
    <w:rPr>
      <w:rFonts w:cs="Times New Roman"/>
      <w:lang w:val="zh-CN"/>
    </w:rPr>
  </w:style>
  <w:style w:type="paragraph" w:customStyle="1" w:styleId="101">
    <w:name w:val="帮助-正文"/>
    <w:basedOn w:val="1"/>
    <w:qFormat/>
    <w:uiPriority w:val="0"/>
    <w:pPr>
      <w:shd w:val="clear" w:color="auto" w:fill="FFFFFF"/>
      <w:spacing w:line="360" w:lineRule="auto"/>
      <w:ind w:firstLine="420" w:firstLineChars="200"/>
    </w:pPr>
    <w:rPr>
      <w:rFonts w:ascii="宋体" w:hAnsi="宋体"/>
    </w:rPr>
  </w:style>
  <w:style w:type="table" w:customStyle="1" w:styleId="102">
    <w:name w:val="1"/>
    <w:basedOn w:val="31"/>
    <w:qFormat/>
    <w:uiPriority w:val="0"/>
    <w:pPr>
      <w:widowControl w:val="0"/>
      <w:spacing w:after="160" w:line="259" w:lineRule="auto"/>
      <w:jc w:val="both"/>
    </w:pPr>
    <w:rPr>
      <w:rFonts w:ascii="Calibri" w:hAnsi="Calibri" w:cs="Calibri" w:eastAsiaTheme="minorEastAsia"/>
      <w:szCs w:val="21"/>
    </w:rPr>
    <w:tblPr>
      <w:tblCellMar>
        <w:top w:w="15" w:type="dxa"/>
        <w:left w:w="15" w:type="dxa"/>
        <w:bottom w:w="15" w:type="dxa"/>
        <w:right w:w="15" w:type="dxa"/>
      </w:tblCellMar>
    </w:tblPr>
  </w:style>
  <w:style w:type="paragraph" w:customStyle="1" w:styleId="103">
    <w:name w:val="修订1"/>
    <w:hidden/>
    <w:unhideWhenUsed/>
    <w:qFormat/>
    <w:uiPriority w:val="99"/>
    <w:rPr>
      <w:rFonts w:ascii="Calibri" w:hAnsi="Calibri" w:eastAsia="宋体" w:cs="Calibri"/>
      <w:kern w:val="2"/>
      <w:sz w:val="21"/>
      <w:szCs w:val="21"/>
      <w:lang w:val="en-US" w:eastAsia="zh-CN" w:bidi="ar-SA"/>
    </w:rPr>
  </w:style>
  <w:style w:type="paragraph" w:customStyle="1" w:styleId="104">
    <w:name w:val="Revision"/>
    <w:hidden/>
    <w:unhideWhenUsed/>
    <w:qFormat/>
    <w:uiPriority w:val="99"/>
    <w:rPr>
      <w:rFonts w:ascii="Calibri" w:hAnsi="Calibri" w:eastAsia="宋体" w:cs="Calibri"/>
      <w:kern w:val="2"/>
      <w:sz w:val="21"/>
      <w:szCs w:val="21"/>
      <w:lang w:val="en-US" w:eastAsia="zh-CN" w:bidi="ar-SA"/>
    </w:rPr>
  </w:style>
  <w:style w:type="table" w:customStyle="1" w:styleId="105">
    <w:name w:val="网格型6"/>
    <w:basedOn w:val="31"/>
    <w:qFormat/>
    <w:uiPriority w:val="39"/>
    <w:rPr>
      <w:kern w:val="0"/>
      <w:sz w:val="20"/>
      <w:szCs w:val="2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27</Pages>
  <Words>16683</Words>
  <Characters>17236</Characters>
  <Lines>108</Lines>
  <Paragraphs>30</Paragraphs>
  <TotalTime>2</TotalTime>
  <ScaleCrop>false</ScaleCrop>
  <LinksUpToDate>false</LinksUpToDate>
  <CharactersWithSpaces>17455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2025-05-23T02:21:00Z</dcterms:created>
  <dc:creator>车 先生</dc:creator>
  <cp:lastModifiedBy>陈坚志</cp:lastModifiedBy>
  <cp:lastPrinted>2025-07-01T03:35:00Z</cp:lastPrinted>
  <dcterms:modified xsi:type="dcterms:W3CDTF">2025-07-14T01:32:56Z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D6513AF47743429F81F70BFC3A0B74C2_13</vt:lpwstr>
  </property>
  <property fmtid="{D5CDD505-2E9C-101B-9397-08002B2CF9AE}" pid="4" name="KSOTemplateDocerSaveRecord">
    <vt:lpwstr>eyJoZGlkIjoiOGUyZWZhOTlmM2ZhNTVhNTgwNTdlOWZiZmNjOGI4ZmEiLCJ1c2VySWQiOiI2MzIyODcyMTYifQ==</vt:lpwstr>
  </property>
</Properties>
</file>